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7047230" cy="8704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870458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line="253" w:lineRule="auto"/>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Mark &amp; Robyn Jones Descendants Trust</w:t>
        </w:r>
      </w:hyperlink>
      <w:r>
        <w:rPr>
          <w:rFonts w:ascii="Times New Roman" w:cs="Times New Roman" w:eastAsia="Times New Roman" w:hAnsi="Times New Roman"/>
          <w:sz w:val="20"/>
          <w:szCs w:val="20"/>
          <w:u w:val="single" w:color="auto"/>
          <w:color w:val="0000EE"/>
        </w:rPr>
        <w:t xml:space="preserve"> </w:t>
      </w:r>
      <w:hyperlink r:id="rId13">
        <w:r>
          <w:rPr>
            <w:rFonts w:ascii="Times New Roman" w:cs="Times New Roman" w:eastAsia="Times New Roman" w:hAnsi="Times New Roman"/>
            <w:sz w:val="20"/>
            <w:szCs w:val="20"/>
            <w:u w:val="single" w:color="auto"/>
            <w:color w:val="0000EE"/>
          </w:rPr>
          <w:t>2014</w:t>
        </w:r>
      </w:hyperlink>
    </w:p>
    <w:p>
      <w:pPr>
        <w:spacing w:after="0" w:line="270"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0"/>
          <w:szCs w:val="20"/>
          <w:color w:val="auto"/>
        </w:rPr>
      </w:pPr>
    </w:p>
    <w:p>
      <w:pPr>
        <w:ind w:left="120" w:right="340"/>
        <w:spacing w:after="0" w:line="373" w:lineRule="auto"/>
        <w:rPr>
          <w:sz w:val="20"/>
          <w:szCs w:val="20"/>
          <w:color w:val="auto"/>
        </w:rPr>
      </w:pPr>
      <w:r>
        <w:rPr>
          <w:rFonts w:ascii="Times New Roman" w:cs="Times New Roman" w:eastAsia="Times New Roman" w:hAnsi="Times New Roman"/>
          <w:sz w:val="16"/>
          <w:szCs w:val="16"/>
          <w:color w:val="0000FF"/>
        </w:rPr>
        <w:t>C/O GOOSEHEAD INSURANCE, INC. 1500 SOLANA BLVD., BLDG 4, STE 4500</w:t>
      </w:r>
    </w:p>
    <w:p>
      <w:pPr>
        <w:spacing w:after="0" w:line="154"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0"/>
          <w:szCs w:val="20"/>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WESTLAKE</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76262</w:t>
      </w:r>
    </w:p>
    <w:p>
      <w:pPr>
        <w:spacing w:after="0" w:line="314"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80"/>
              <w:spacing w:after="0" w:line="140"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Goosehead Insurance,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GSHD</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82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40" w:type="dxa"/>
            <w:vAlign w:val="bottom"/>
            <w:tcBorders>
              <w:bottom w:val="single" w:sz="8" w:color="0000EE"/>
            </w:tcBorders>
          </w:tcPr>
          <w:p>
            <w:pPr>
              <w:spacing w:after="0"/>
              <w:rPr>
                <w:sz w:val="3"/>
                <w:szCs w:val="3"/>
                <w:color w:val="auto"/>
              </w:rPr>
            </w:pPr>
          </w:p>
        </w:tc>
        <w:tc>
          <w:tcPr>
            <w:tcW w:w="1600" w:type="dxa"/>
            <w:vAlign w:val="bottom"/>
          </w:tcPr>
          <w:p>
            <w:pPr>
              <w:spacing w:after="0"/>
              <w:rPr>
                <w:sz w:val="3"/>
                <w:szCs w:val="3"/>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820" w:type="dxa"/>
            <w:vAlign w:val="bottom"/>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9"/>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4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0"/>
        </w:trPr>
        <w:tc>
          <w:tcPr>
            <w:tcW w:w="200" w:type="dxa"/>
            <w:vAlign w:val="bottom"/>
            <w:gridSpan w:val="2"/>
            <w:vMerge w:val="continue"/>
          </w:tcPr>
          <w:p>
            <w:pPr>
              <w:spacing w:after="0"/>
              <w:rPr>
                <w:sz w:val="8"/>
                <w:szCs w:val="8"/>
                <w:color w:val="auto"/>
              </w:rPr>
            </w:pPr>
          </w:p>
        </w:tc>
        <w:tc>
          <w:tcPr>
            <w:tcW w:w="3640" w:type="dxa"/>
            <w:vAlign w:val="bottom"/>
            <w:gridSpan w:val="2"/>
            <w:vMerge w:val="continue"/>
          </w:tcPr>
          <w:p>
            <w:pPr>
              <w:spacing w:after="0"/>
              <w:rPr>
                <w:sz w:val="8"/>
                <w:szCs w:val="8"/>
                <w:color w:val="auto"/>
              </w:rPr>
            </w:pPr>
          </w:p>
        </w:tc>
        <w:tc>
          <w:tcPr>
            <w:tcW w:w="3280" w:type="dxa"/>
            <w:vAlign w:val="bottom"/>
            <w:gridSpan w:val="2"/>
            <w:vMerge w:val="restart"/>
          </w:tcPr>
          <w:p>
            <w:pPr>
              <w:ind w:left="660"/>
              <w:spacing w:after="0"/>
              <w:rPr>
                <w:sz w:val="20"/>
                <w:szCs w:val="20"/>
                <w:color w:val="auto"/>
              </w:rPr>
            </w:pPr>
            <w:r>
              <w:rPr>
                <w:rFonts w:ascii="Times New Roman" w:cs="Times New Roman" w:eastAsia="Times New Roman" w:hAnsi="Times New Roman"/>
                <w:sz w:val="17"/>
                <w:szCs w:val="17"/>
                <w:color w:val="0000FF"/>
              </w:rPr>
              <w:t>Member of 10% owner group</w:t>
            </w:r>
          </w:p>
        </w:tc>
        <w:tc>
          <w:tcPr>
            <w:tcW w:w="0" w:type="dxa"/>
            <w:vAlign w:val="bottom"/>
          </w:tcPr>
          <w:p>
            <w:pPr>
              <w:spacing w:after="0"/>
              <w:rPr>
                <w:sz w:val="1"/>
                <w:szCs w:val="1"/>
                <w:color w:val="auto"/>
              </w:rPr>
            </w:pPr>
          </w:p>
        </w:tc>
      </w:tr>
      <w:tr>
        <w:trPr>
          <w:trHeight w:val="139"/>
        </w:trPr>
        <w:tc>
          <w:tcPr>
            <w:tcW w:w="224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05/27/2026</w:t>
            </w:r>
          </w:p>
        </w:tc>
        <w:tc>
          <w:tcPr>
            <w:tcW w:w="1600" w:type="dxa"/>
            <w:vAlign w:val="bottom"/>
          </w:tcPr>
          <w:p>
            <w:pPr>
              <w:spacing w:after="0"/>
              <w:rPr>
                <w:sz w:val="12"/>
                <w:szCs w:val="12"/>
                <w:color w:val="auto"/>
              </w:rPr>
            </w:pPr>
          </w:p>
        </w:tc>
        <w:tc>
          <w:tcPr>
            <w:tcW w:w="3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240" w:type="dxa"/>
            <w:vAlign w:val="bottom"/>
            <w:gridSpan w:val="3"/>
            <w:vMerge w:val="continue"/>
          </w:tcPr>
          <w:p>
            <w:pPr>
              <w:spacing w:after="0"/>
              <w:rPr>
                <w:sz w:val="6"/>
                <w:szCs w:val="6"/>
                <w:color w:val="auto"/>
              </w:rPr>
            </w:pPr>
          </w:p>
        </w:tc>
        <w:tc>
          <w:tcPr>
            <w:tcW w:w="16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4"/>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17"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42"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474" w:lineRule="exact"/>
        <w:rPr>
          <w:sz w:val="20"/>
          <w:szCs w:val="20"/>
          <w:color w:val="auto"/>
        </w:rPr>
      </w:pPr>
    </w:p>
    <w:p>
      <w:pPr>
        <w:sectPr>
          <w:pgSz w:w="11900" w:h="16838" w:orient="portrait"/>
          <w:cols w:equalWidth="0" w:num="2">
            <w:col w:w="3420" w:space="42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60"/>
              <w:spacing w:after="0"/>
              <w:rPr>
                <w:sz w:val="20"/>
                <w:szCs w:val="20"/>
                <w:color w:val="auto"/>
              </w:rPr>
            </w:pPr>
            <w:r>
              <w:rPr>
                <w:rFonts w:ascii="Arial" w:cs="Arial" w:eastAsia="Arial" w:hAnsi="Arial"/>
                <w:sz w:val="11"/>
                <w:szCs w:val="11"/>
                <w:b w:val="1"/>
                <w:bCs w:val="1"/>
                <w:color w:val="auto"/>
              </w:rPr>
              <w:t>2. Transaction</w:t>
            </w:r>
          </w:p>
        </w:tc>
        <w:tc>
          <w:tcPr>
            <w:tcW w:w="80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20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320" w:type="dxa"/>
            <w:vAlign w:val="bottom"/>
          </w:tcPr>
          <w:p>
            <w:pPr>
              <w:spacing w:after="0"/>
              <w:rPr>
                <w:sz w:val="13"/>
                <w:szCs w:val="13"/>
                <w:color w:val="auto"/>
              </w:rPr>
            </w:pPr>
          </w:p>
        </w:tc>
        <w:tc>
          <w:tcPr>
            <w:tcW w:w="1920" w:type="dxa"/>
            <w:vAlign w:val="bottom"/>
            <w:gridSpan w:val="5"/>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tcPr>
          <w:p>
            <w:pPr>
              <w:ind w:left="76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Execution Date,</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5"/>
          </w:tcPr>
          <w:p>
            <w:pPr>
              <w:ind w:left="2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20" w:type="dxa"/>
            <w:vAlign w:val="bottom"/>
            <w:gridSpan w:val="2"/>
          </w:tcPr>
          <w:p>
            <w:pPr>
              <w:jc w:val="center"/>
              <w:ind w:left="571"/>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vMerge w:val="restart"/>
          </w:tcPr>
          <w:p>
            <w:pPr>
              <w:jc w:val="center"/>
              <w:ind w:right="2"/>
              <w:spacing w:after="0"/>
              <w:rPr>
                <w:sz w:val="20"/>
                <w:szCs w:val="20"/>
                <w:color w:val="auto"/>
              </w:rPr>
            </w:pPr>
            <w:r>
              <w:rPr>
                <w:rFonts w:ascii="Arial" w:cs="Arial" w:eastAsia="Arial" w:hAnsi="Arial"/>
                <w:sz w:val="11"/>
                <w:szCs w:val="11"/>
                <w:b w:val="1"/>
                <w:bCs w:val="1"/>
                <w:color w:val="auto"/>
              </w:rPr>
              <w:t>Code</w:t>
            </w:r>
          </w:p>
        </w:tc>
        <w:tc>
          <w:tcPr>
            <w:tcW w:w="320" w:type="dxa"/>
            <w:vAlign w:val="bottom"/>
            <w:vMerge w:val="restart"/>
          </w:tcPr>
          <w:p>
            <w:pPr>
              <w:spacing w:after="0"/>
              <w:rPr>
                <w:sz w:val="20"/>
                <w:szCs w:val="20"/>
                <w:color w:val="auto"/>
              </w:rPr>
            </w:pPr>
            <w:r>
              <w:rPr>
                <w:rFonts w:ascii="Arial" w:cs="Arial" w:eastAsia="Arial" w:hAnsi="Arial"/>
                <w:sz w:val="11"/>
                <w:szCs w:val="11"/>
                <w:b w:val="1"/>
                <w:bCs w:val="1"/>
                <w:color w:val="auto"/>
              </w:rPr>
              <w:t>V</w:t>
            </w:r>
          </w:p>
        </w:tc>
        <w:tc>
          <w:tcPr>
            <w:tcW w:w="4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580" w:type="dxa"/>
            <w:vAlign w:val="bottom"/>
          </w:tcPr>
          <w:p>
            <w:pPr>
              <w:ind w:left="280"/>
              <w:spacing w:after="0"/>
              <w:rPr>
                <w:sz w:val="20"/>
                <w:szCs w:val="20"/>
                <w:color w:val="auto"/>
              </w:rPr>
            </w:pPr>
            <w:r>
              <w:rPr>
                <w:rFonts w:ascii="Arial" w:cs="Arial" w:eastAsia="Arial" w:hAnsi="Arial"/>
                <w:sz w:val="11"/>
                <w:szCs w:val="11"/>
                <w:b w:val="1"/>
                <w:bCs w:val="1"/>
                <w:color w:val="auto"/>
                <w:w w:val="95"/>
              </w:rPr>
              <w:t>(A) or</w:t>
            </w:r>
          </w:p>
        </w:tc>
        <w:tc>
          <w:tcPr>
            <w:tcW w:w="80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vMerge w:val="restart"/>
          </w:tcPr>
          <w:p>
            <w:pPr>
              <w:ind w:left="280"/>
              <w:spacing w:after="0"/>
              <w:rPr>
                <w:sz w:val="20"/>
                <w:szCs w:val="20"/>
                <w:color w:val="auto"/>
              </w:rPr>
            </w:pPr>
            <w:r>
              <w:rPr>
                <w:rFonts w:ascii="Arial" w:cs="Arial" w:eastAsia="Arial" w:hAnsi="Arial"/>
                <w:sz w:val="11"/>
                <w:szCs w:val="11"/>
                <w:b w:val="1"/>
                <w:bCs w:val="1"/>
                <w:color w:val="auto"/>
              </w:rPr>
              <w:t>(D)</w:t>
            </w:r>
          </w:p>
        </w:tc>
        <w:tc>
          <w:tcPr>
            <w:tcW w:w="8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820" w:type="dxa"/>
            <w:vAlign w:val="bottom"/>
            <w:tcBorders>
              <w:bottom w:val="single" w:sz="8" w:color="2C2C2C"/>
            </w:tcBorders>
            <w:gridSpan w:val="2"/>
          </w:tcPr>
          <w:p>
            <w:pPr>
              <w:jc w:val="center"/>
              <w:ind w:left="551"/>
              <w:spacing w:after="0"/>
              <w:rPr>
                <w:sz w:val="20"/>
                <w:szCs w:val="20"/>
                <w:color w:val="auto"/>
              </w:rPr>
            </w:pPr>
            <w:r>
              <w:rPr>
                <w:rFonts w:ascii="Times New Roman" w:cs="Times New Roman" w:eastAsia="Times New Roman" w:hAnsi="Times New Roman"/>
                <w:sz w:val="17"/>
                <w:szCs w:val="17"/>
                <w:color w:val="0000FF"/>
                <w:w w:val="98"/>
              </w:rPr>
              <w:t>05/27/2026</w:t>
            </w:r>
          </w:p>
        </w:tc>
        <w:tc>
          <w:tcPr>
            <w:tcW w:w="8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9,588</w:t>
            </w:r>
          </w:p>
        </w:tc>
        <w:tc>
          <w:tcPr>
            <w:tcW w:w="58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jc w:val="center"/>
              <w:ind w:left="166"/>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6"/>
              </w:rPr>
              <w:t>6,995,180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303"/>
              <w:spacing w:after="0" w:line="306" w:lineRule="exact"/>
              <w:rPr>
                <w:sz w:val="20"/>
                <w:szCs w:val="20"/>
                <w:color w:val="auto"/>
              </w:rPr>
            </w:pPr>
            <w:r>
              <w:rPr>
                <w:rFonts w:ascii="Times New Roman" w:cs="Times New Roman" w:eastAsia="Times New Roman" w:hAnsi="Times New Roman"/>
                <w:sz w:val="33"/>
                <w:szCs w:val="33"/>
                <w:color w:val="0000FF"/>
                <w:w w:val="83"/>
                <w:vertAlign w:val="subscript"/>
              </w:rPr>
              <w:t>D</w:t>
            </w:r>
            <w:r>
              <w:rPr>
                <w:rFonts w:ascii="Times New Roman" w:cs="Times New Roman" w:eastAsia="Times New Roman" w:hAnsi="Times New Roman"/>
                <w:sz w:val="11"/>
                <w:szCs w:val="11"/>
                <w:color w:val="008000"/>
                <w:w w:val="83"/>
              </w:rPr>
              <w:t>(1)</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2"/>
          </w:tcPr>
          <w:p>
            <w:pPr>
              <w:jc w:val="center"/>
              <w:ind w:left="551"/>
              <w:spacing w:after="0"/>
              <w:rPr>
                <w:sz w:val="20"/>
                <w:szCs w:val="20"/>
                <w:color w:val="auto"/>
              </w:rPr>
            </w:pPr>
            <w:r>
              <w:rPr>
                <w:rFonts w:ascii="Times New Roman" w:cs="Times New Roman" w:eastAsia="Times New Roman" w:hAnsi="Times New Roman"/>
                <w:sz w:val="17"/>
                <w:szCs w:val="17"/>
                <w:color w:val="0000FF"/>
                <w:w w:val="98"/>
              </w:rPr>
              <w:t>05/27/2026</w:t>
            </w:r>
          </w:p>
        </w:tc>
        <w:tc>
          <w:tcPr>
            <w:tcW w:w="8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9,588</w:t>
            </w:r>
          </w:p>
        </w:tc>
        <w:tc>
          <w:tcPr>
            <w:tcW w:w="58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740" w:type="dxa"/>
            <w:vAlign w:val="bottom"/>
            <w:tcBorders>
              <w:bottom w:val="single" w:sz="8" w:color="2C2C2C"/>
            </w:tcBorders>
          </w:tcPr>
          <w:p>
            <w:pPr>
              <w:jc w:val="center"/>
              <w:ind w:left="166"/>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9,588</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303"/>
              <w:spacing w:after="0" w:line="306" w:lineRule="exact"/>
              <w:rPr>
                <w:sz w:val="20"/>
                <w:szCs w:val="20"/>
                <w:color w:val="auto"/>
              </w:rPr>
            </w:pPr>
            <w:r>
              <w:rPr>
                <w:rFonts w:ascii="Times New Roman" w:cs="Times New Roman" w:eastAsia="Times New Roman" w:hAnsi="Times New Roman"/>
                <w:sz w:val="33"/>
                <w:szCs w:val="33"/>
                <w:color w:val="0000FF"/>
                <w:w w:val="83"/>
                <w:vertAlign w:val="subscript"/>
              </w:rPr>
              <w:t>D</w:t>
            </w:r>
            <w:r>
              <w:rPr>
                <w:rFonts w:ascii="Times New Roman" w:cs="Times New Roman" w:eastAsia="Times New Roman" w:hAnsi="Times New Roman"/>
                <w:sz w:val="11"/>
                <w:szCs w:val="11"/>
                <w:color w:val="008000"/>
                <w:w w:val="83"/>
              </w:rPr>
              <w:t>(1)</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2"/>
          </w:tcPr>
          <w:p>
            <w:pPr>
              <w:jc w:val="center"/>
              <w:ind w:left="551"/>
              <w:spacing w:after="0"/>
              <w:rPr>
                <w:sz w:val="20"/>
                <w:szCs w:val="20"/>
                <w:color w:val="auto"/>
              </w:rPr>
            </w:pPr>
            <w:r>
              <w:rPr>
                <w:rFonts w:ascii="Times New Roman" w:cs="Times New Roman" w:eastAsia="Times New Roman" w:hAnsi="Times New Roman"/>
                <w:sz w:val="17"/>
                <w:szCs w:val="17"/>
                <w:color w:val="0000FF"/>
                <w:w w:val="98"/>
              </w:rPr>
              <w:t>05/27/2026</w:t>
            </w:r>
          </w:p>
        </w:tc>
        <w:tc>
          <w:tcPr>
            <w:tcW w:w="8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6,466</w:t>
            </w:r>
          </w:p>
        </w:tc>
        <w:tc>
          <w:tcPr>
            <w:tcW w:w="58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Borders>
              <w:bottom w:val="single" w:sz="8" w:color="2C2C2C"/>
            </w:tcBorders>
            <w:gridSpan w:val="2"/>
          </w:tcPr>
          <w:p>
            <w:pPr>
              <w:jc w:val="center"/>
              <w:ind w:left="106"/>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40.51</w:t>
            </w:r>
            <w:r>
              <w:rPr>
                <w:rFonts w:ascii="Times New Roman" w:cs="Times New Roman" w:eastAsia="Times New Roman" w:hAnsi="Times New Roman"/>
                <w:sz w:val="21"/>
                <w:szCs w:val="21"/>
                <w:color w:val="008000"/>
                <w:w w:val="90"/>
                <w:vertAlign w:val="superscript"/>
              </w:rPr>
              <w:t>(2)</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3,122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303"/>
              <w:spacing w:after="0" w:line="306" w:lineRule="exact"/>
              <w:rPr>
                <w:sz w:val="20"/>
                <w:szCs w:val="20"/>
                <w:color w:val="auto"/>
              </w:rPr>
            </w:pPr>
            <w:r>
              <w:rPr>
                <w:rFonts w:ascii="Times New Roman" w:cs="Times New Roman" w:eastAsia="Times New Roman" w:hAnsi="Times New Roman"/>
                <w:sz w:val="33"/>
                <w:szCs w:val="33"/>
                <w:color w:val="0000FF"/>
                <w:w w:val="83"/>
                <w:vertAlign w:val="subscript"/>
              </w:rPr>
              <w:t>D</w:t>
            </w:r>
            <w:r>
              <w:rPr>
                <w:rFonts w:ascii="Times New Roman" w:cs="Times New Roman" w:eastAsia="Times New Roman" w:hAnsi="Times New Roman"/>
                <w:sz w:val="11"/>
                <w:szCs w:val="11"/>
                <w:color w:val="008000"/>
                <w:w w:val="83"/>
              </w:rPr>
              <w:t>(1)</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2"/>
          </w:tcPr>
          <w:p>
            <w:pPr>
              <w:jc w:val="center"/>
              <w:ind w:left="551"/>
              <w:spacing w:after="0"/>
              <w:rPr>
                <w:sz w:val="20"/>
                <w:szCs w:val="20"/>
                <w:color w:val="auto"/>
              </w:rPr>
            </w:pPr>
            <w:r>
              <w:rPr>
                <w:rFonts w:ascii="Times New Roman" w:cs="Times New Roman" w:eastAsia="Times New Roman" w:hAnsi="Times New Roman"/>
                <w:sz w:val="17"/>
                <w:szCs w:val="17"/>
                <w:color w:val="0000FF"/>
                <w:w w:val="98"/>
              </w:rPr>
              <w:t>05/27/2026</w:t>
            </w:r>
          </w:p>
        </w:tc>
        <w:tc>
          <w:tcPr>
            <w:tcW w:w="8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3,122</w:t>
            </w:r>
          </w:p>
        </w:tc>
        <w:tc>
          <w:tcPr>
            <w:tcW w:w="58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Borders>
              <w:bottom w:val="single" w:sz="8" w:color="2C2C2C"/>
            </w:tcBorders>
            <w:gridSpan w:val="2"/>
          </w:tcPr>
          <w:p>
            <w:pPr>
              <w:jc w:val="center"/>
              <w:ind w:left="106"/>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41.28</w:t>
            </w:r>
            <w:r>
              <w:rPr>
                <w:rFonts w:ascii="Times New Roman" w:cs="Times New Roman" w:eastAsia="Times New Roman" w:hAnsi="Times New Roman"/>
                <w:sz w:val="21"/>
                <w:szCs w:val="21"/>
                <w:color w:val="008000"/>
                <w:w w:val="90"/>
                <w:vertAlign w:val="superscript"/>
              </w:rPr>
              <w:t>(3)</w:t>
            </w:r>
          </w:p>
        </w:tc>
        <w:tc>
          <w:tcPr>
            <w:tcW w:w="680" w:type="dxa"/>
            <w:vAlign w:val="bottom"/>
            <w:tcBorders>
              <w:bottom w:val="single" w:sz="8" w:color="2C2C2C"/>
            </w:tcBorders>
            <w:gridSpan w:val="2"/>
          </w:tcPr>
          <w:p>
            <w:pPr>
              <w:jc w:val="center"/>
              <w:ind w:left="486"/>
              <w:spacing w:after="0"/>
              <w:rPr>
                <w:sz w:val="20"/>
                <w:szCs w:val="20"/>
                <w:color w:val="auto"/>
              </w:rPr>
            </w:pPr>
            <w:r>
              <w:rPr>
                <w:rFonts w:ascii="Times New Roman" w:cs="Times New Roman" w:eastAsia="Times New Roman" w:hAnsi="Times New Roman"/>
                <w:sz w:val="17"/>
                <w:szCs w:val="17"/>
                <w:color w:val="0000FF"/>
                <w:w w:val="93"/>
              </w:rPr>
              <w:t>0</w:t>
            </w:r>
          </w:p>
        </w:tc>
        <w:tc>
          <w:tcPr>
            <w:tcW w:w="5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303"/>
              <w:spacing w:after="0" w:line="306" w:lineRule="exact"/>
              <w:rPr>
                <w:sz w:val="20"/>
                <w:szCs w:val="20"/>
                <w:color w:val="auto"/>
              </w:rPr>
            </w:pPr>
            <w:r>
              <w:rPr>
                <w:rFonts w:ascii="Times New Roman" w:cs="Times New Roman" w:eastAsia="Times New Roman" w:hAnsi="Times New Roman"/>
                <w:sz w:val="33"/>
                <w:szCs w:val="33"/>
                <w:color w:val="0000FF"/>
                <w:w w:val="83"/>
                <w:vertAlign w:val="subscript"/>
              </w:rPr>
              <w:t>D</w:t>
            </w:r>
            <w:r>
              <w:rPr>
                <w:rFonts w:ascii="Times New Roman" w:cs="Times New Roman" w:eastAsia="Times New Roman" w:hAnsi="Times New Roman"/>
                <w:sz w:val="11"/>
                <w:szCs w:val="11"/>
                <w:color w:val="008000"/>
                <w:w w:val="83"/>
              </w:rPr>
              <w:t>(1)</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38,851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303"/>
              <w:spacing w:after="0" w:line="306" w:lineRule="exact"/>
              <w:rPr>
                <w:sz w:val="20"/>
                <w:szCs w:val="20"/>
                <w:color w:val="auto"/>
              </w:rPr>
            </w:pPr>
            <w:r>
              <w:rPr>
                <w:rFonts w:ascii="Times New Roman" w:cs="Times New Roman" w:eastAsia="Times New Roman" w:hAnsi="Times New Roman"/>
                <w:sz w:val="33"/>
                <w:szCs w:val="33"/>
                <w:color w:val="0000FF"/>
                <w:w w:val="83"/>
                <w:vertAlign w:val="subscript"/>
              </w:rPr>
              <w:t>D</w:t>
            </w:r>
            <w:r>
              <w:rPr>
                <w:rFonts w:ascii="Times New Roman" w:cs="Times New Roman" w:eastAsia="Times New Roman" w:hAnsi="Times New Roman"/>
                <w:sz w:val="11"/>
                <w:szCs w:val="11"/>
                <w:color w:val="008000"/>
                <w:w w:val="83"/>
              </w:rPr>
              <w:t>(4)</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1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182,349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303"/>
              <w:spacing w:after="0" w:line="306" w:lineRule="exact"/>
              <w:rPr>
                <w:sz w:val="20"/>
                <w:szCs w:val="20"/>
                <w:color w:val="auto"/>
              </w:rPr>
            </w:pPr>
            <w:r>
              <w:rPr>
                <w:rFonts w:ascii="Times New Roman" w:cs="Times New Roman" w:eastAsia="Times New Roman" w:hAnsi="Times New Roman"/>
                <w:sz w:val="33"/>
                <w:szCs w:val="33"/>
                <w:color w:val="0000FF"/>
                <w:w w:val="83"/>
                <w:vertAlign w:val="subscript"/>
              </w:rPr>
              <w:t>D</w:t>
            </w:r>
            <w:r>
              <w:rPr>
                <w:rFonts w:ascii="Times New Roman" w:cs="Times New Roman" w:eastAsia="Times New Roman" w:hAnsi="Times New Roman"/>
                <w:sz w:val="11"/>
                <w:szCs w:val="11"/>
                <w:color w:val="008000"/>
                <w:w w:val="83"/>
              </w:rPr>
              <w:t>(4)</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71,565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303"/>
              <w:spacing w:after="0" w:line="306" w:lineRule="exact"/>
              <w:rPr>
                <w:sz w:val="20"/>
                <w:szCs w:val="20"/>
                <w:color w:val="auto"/>
              </w:rPr>
            </w:pPr>
            <w:r>
              <w:rPr>
                <w:rFonts w:ascii="Times New Roman" w:cs="Times New Roman" w:eastAsia="Times New Roman" w:hAnsi="Times New Roman"/>
                <w:sz w:val="33"/>
                <w:szCs w:val="33"/>
                <w:color w:val="0000FF"/>
                <w:w w:val="83"/>
                <w:vertAlign w:val="subscript"/>
              </w:rPr>
              <w:t>D</w:t>
            </w:r>
            <w:r>
              <w:rPr>
                <w:rFonts w:ascii="Times New Roman" w:cs="Times New Roman" w:eastAsia="Times New Roman" w:hAnsi="Times New Roman"/>
                <w:sz w:val="11"/>
                <w:szCs w:val="11"/>
                <w:color w:val="008000"/>
                <w:w w:val="83"/>
              </w:rPr>
              <w:t>(5)</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1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132,349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303"/>
              <w:spacing w:after="0" w:line="306" w:lineRule="exact"/>
              <w:rPr>
                <w:sz w:val="20"/>
                <w:szCs w:val="20"/>
                <w:color w:val="auto"/>
              </w:rPr>
            </w:pPr>
            <w:r>
              <w:rPr>
                <w:rFonts w:ascii="Times New Roman" w:cs="Times New Roman" w:eastAsia="Times New Roman" w:hAnsi="Times New Roman"/>
                <w:sz w:val="33"/>
                <w:szCs w:val="33"/>
                <w:color w:val="0000FF"/>
                <w:w w:val="83"/>
                <w:vertAlign w:val="subscript"/>
              </w:rPr>
              <w:t>D</w:t>
            </w:r>
            <w:r>
              <w:rPr>
                <w:rFonts w:ascii="Times New Roman" w:cs="Times New Roman" w:eastAsia="Times New Roman" w:hAnsi="Times New Roman"/>
                <w:sz w:val="11"/>
                <w:szCs w:val="11"/>
                <w:color w:val="008000"/>
                <w:w w:val="83"/>
              </w:rPr>
              <w:t>(5)</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1,766,355</w:t>
            </w:r>
          </w:p>
        </w:tc>
        <w:tc>
          <w:tcPr>
            <w:tcW w:w="260" w:type="dxa"/>
            <w:vAlign w:val="bottom"/>
          </w:tcPr>
          <w:p>
            <w:pPr>
              <w:spacing w:after="0"/>
              <w:rPr>
                <w:sz w:val="21"/>
                <w:szCs w:val="21"/>
                <w:color w:val="auto"/>
              </w:rPr>
            </w:pPr>
          </w:p>
        </w:tc>
        <w:tc>
          <w:tcPr>
            <w:tcW w:w="680" w:type="dxa"/>
            <w:vAlign w:val="bottom"/>
            <w:vMerge w:val="restart"/>
          </w:tcPr>
          <w:p>
            <w:pPr>
              <w:jc w:val="center"/>
              <w:ind w:right="323"/>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(6)</w:t>
            </w:r>
          </w:p>
        </w:tc>
        <w:tc>
          <w:tcPr>
            <w:tcW w:w="0" w:type="dxa"/>
            <w:vAlign w:val="bottom"/>
          </w:tcPr>
          <w:p>
            <w:pPr>
              <w:spacing w:after="0"/>
              <w:rPr>
                <w:sz w:val="1"/>
                <w:szCs w:val="1"/>
                <w:color w:val="auto"/>
              </w:rPr>
            </w:pPr>
          </w:p>
        </w:tc>
      </w:tr>
      <w:tr>
        <w:trPr>
          <w:trHeight w:val="199"/>
        </w:trPr>
        <w:tc>
          <w:tcPr>
            <w:tcW w:w="2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40" w:type="dxa"/>
            <w:vAlign w:val="bottom"/>
            <w:gridSpan w:val="13"/>
          </w:tcPr>
          <w:p>
            <w:pPr>
              <w:jc w:val="center"/>
              <w:ind w:right="14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60" w:type="dxa"/>
            <w:vAlign w:val="bottom"/>
            <w:gridSpan w:val="11"/>
          </w:tcPr>
          <w:p>
            <w:pPr>
              <w:jc w:val="center"/>
              <w:ind w:left="411"/>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4"/>
          </w:tcPr>
          <w:p>
            <w:pPr>
              <w:spacing w:after="0"/>
              <w:rPr>
                <w:sz w:val="2"/>
                <w:szCs w:val="2"/>
                <w:color w:val="auto"/>
              </w:rPr>
            </w:pPr>
          </w:p>
        </w:tc>
        <w:tc>
          <w:tcPr>
            <w:tcW w:w="13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jc w:val="center"/>
              <w:ind w:right="442"/>
              <w:spacing w:after="0"/>
              <w:rPr>
                <w:sz w:val="20"/>
                <w:szCs w:val="20"/>
                <w:color w:val="auto"/>
              </w:rPr>
            </w:pPr>
            <w:r>
              <w:rPr>
                <w:rFonts w:ascii="Arial" w:cs="Arial" w:eastAsia="Arial" w:hAnsi="Arial"/>
                <w:sz w:val="11"/>
                <w:szCs w:val="11"/>
                <w:b w:val="1"/>
                <w:bCs w:val="1"/>
                <w:color w:val="auto"/>
              </w:rPr>
              <w:t>4.</w:t>
            </w:r>
          </w:p>
        </w:tc>
        <w:tc>
          <w:tcPr>
            <w:tcW w:w="800" w:type="dxa"/>
            <w:vAlign w:val="bottom"/>
          </w:tcPr>
          <w:p>
            <w:pPr>
              <w:ind w:left="140"/>
              <w:spacing w:after="0"/>
              <w:rPr>
                <w:sz w:val="20"/>
                <w:szCs w:val="20"/>
                <w:color w:val="auto"/>
              </w:rPr>
            </w:pPr>
            <w:r>
              <w:rPr>
                <w:rFonts w:ascii="Arial" w:cs="Arial" w:eastAsia="Arial" w:hAnsi="Arial"/>
                <w:sz w:val="11"/>
                <w:szCs w:val="11"/>
                <w:b w:val="1"/>
                <w:bCs w:val="1"/>
                <w:color w:val="auto"/>
              </w:rPr>
              <w:t>5. Number</w:t>
            </w:r>
          </w:p>
        </w:tc>
        <w:tc>
          <w:tcPr>
            <w:tcW w:w="1500" w:type="dxa"/>
            <w:vAlign w:val="bottom"/>
            <w:gridSpan w:val="4"/>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40" w:type="dxa"/>
            <w:vAlign w:val="bottom"/>
            <w:gridSpan w:val="4"/>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800" w:type="dxa"/>
            <w:vAlign w:val="bottom"/>
          </w:tcPr>
          <w:p>
            <w:pPr>
              <w:ind w:left="140"/>
              <w:spacing w:after="0"/>
              <w:rPr>
                <w:sz w:val="20"/>
                <w:szCs w:val="20"/>
                <w:color w:val="auto"/>
              </w:rPr>
            </w:pPr>
            <w:r>
              <w:rPr>
                <w:rFonts w:ascii="Arial" w:cs="Arial" w:eastAsia="Arial" w:hAnsi="Arial"/>
                <w:sz w:val="11"/>
                <w:szCs w:val="11"/>
                <w:b w:val="1"/>
                <w:bCs w:val="1"/>
                <w:color w:val="auto"/>
              </w:rPr>
              <w:t>of</w:t>
            </w:r>
          </w:p>
        </w:tc>
        <w:tc>
          <w:tcPr>
            <w:tcW w:w="1020" w:type="dxa"/>
            <w:vAlign w:val="bottom"/>
            <w:gridSpan w:val="3"/>
          </w:tcPr>
          <w:p>
            <w:pPr>
              <w:ind w:left="60"/>
              <w:spacing w:after="0"/>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1"/>
                <w:szCs w:val="11"/>
                <w:color w:val="auto"/>
              </w:rPr>
            </w:pPr>
          </w:p>
        </w:tc>
        <w:tc>
          <w:tcPr>
            <w:tcW w:w="1440" w:type="dxa"/>
            <w:vAlign w:val="bottom"/>
            <w:gridSpan w:val="4"/>
          </w:tcPr>
          <w:p>
            <w:pPr>
              <w:ind w:left="40"/>
              <w:spacing w:after="0"/>
              <w:rPr>
                <w:sz w:val="20"/>
                <w:szCs w:val="20"/>
                <w:color w:val="auto"/>
              </w:rPr>
            </w:pPr>
            <w:r>
              <w:rPr>
                <w:rFonts w:ascii="Arial" w:cs="Arial" w:eastAsia="Arial" w:hAnsi="Arial"/>
                <w:sz w:val="11"/>
                <w:szCs w:val="11"/>
                <w:b w:val="1"/>
                <w:bCs w:val="1"/>
                <w:color w:val="auto"/>
              </w:rPr>
              <w:t>Securities Underlying</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500" w:type="dxa"/>
            <w:vAlign w:val="bottom"/>
            <w:gridSpan w:val="4"/>
          </w:tcPr>
          <w:p>
            <w:pPr>
              <w:ind w:left="10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80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102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spacing w:after="0"/>
              <w:rPr>
                <w:sz w:val="11"/>
                <w:szCs w:val="11"/>
                <w:color w:val="auto"/>
              </w:rPr>
            </w:pPr>
          </w:p>
        </w:tc>
        <w:tc>
          <w:tcPr>
            <w:tcW w:w="1440" w:type="dxa"/>
            <w:vAlign w:val="bottom"/>
            <w:gridSpan w:val="4"/>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1"/>
                <w:szCs w:val="11"/>
                <w:color w:val="auto"/>
              </w:rPr>
            </w:pP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jc w:val="center"/>
              <w:ind w:right="442"/>
              <w:spacing w:after="0"/>
              <w:rPr>
                <w:sz w:val="20"/>
                <w:szCs w:val="20"/>
                <w:color w:val="auto"/>
              </w:rPr>
            </w:pPr>
            <w:r>
              <w:rPr>
                <w:rFonts w:ascii="Arial" w:cs="Arial" w:eastAsia="Arial" w:hAnsi="Arial"/>
                <w:sz w:val="11"/>
                <w:szCs w:val="11"/>
                <w:b w:val="1"/>
                <w:bCs w:val="1"/>
                <w:color w:val="auto"/>
              </w:rPr>
              <w:t>8)</w:t>
            </w:r>
          </w:p>
        </w:tc>
        <w:tc>
          <w:tcPr>
            <w:tcW w:w="80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40" w:type="dxa"/>
            <w:vAlign w:val="bottom"/>
            <w:gridSpan w:val="4"/>
          </w:tcPr>
          <w:p>
            <w:pPr>
              <w:ind w:left="4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140"/>
              <w:spacing w:after="0"/>
              <w:rPr>
                <w:sz w:val="20"/>
                <w:szCs w:val="20"/>
                <w:color w:val="auto"/>
              </w:rPr>
            </w:pPr>
            <w:r>
              <w:rPr>
                <w:rFonts w:ascii="Arial" w:cs="Arial" w:eastAsia="Arial" w:hAnsi="Arial"/>
                <w:sz w:val="11"/>
                <w:szCs w:val="11"/>
                <w:b w:val="1"/>
                <w:bCs w:val="1"/>
                <w:color w:val="auto"/>
              </w:rPr>
              <w:t>Acquired</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140"/>
              <w:spacing w:after="0"/>
              <w:rPr>
                <w:sz w:val="20"/>
                <w:szCs w:val="20"/>
                <w:color w:val="auto"/>
              </w:rPr>
            </w:pPr>
            <w:r>
              <w:rPr>
                <w:rFonts w:ascii="Arial" w:cs="Arial" w:eastAsia="Arial" w:hAnsi="Arial"/>
                <w:sz w:val="11"/>
                <w:szCs w:val="11"/>
                <w:b w:val="1"/>
                <w:bCs w:val="1"/>
                <w:color w:val="auto"/>
              </w:rPr>
              <w:t>(A) or</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140"/>
              <w:spacing w:after="0"/>
              <w:rPr>
                <w:sz w:val="20"/>
                <w:szCs w:val="20"/>
                <w:color w:val="auto"/>
              </w:rPr>
            </w:pPr>
            <w:r>
              <w:rPr>
                <w:rFonts w:ascii="Arial" w:cs="Arial" w:eastAsia="Arial" w:hAnsi="Arial"/>
                <w:sz w:val="11"/>
                <w:szCs w:val="11"/>
                <w:b w:val="1"/>
                <w:bCs w:val="1"/>
                <w:color w:val="auto"/>
              </w:rPr>
              <w:t>Disposed</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140"/>
              <w:spacing w:after="0"/>
              <w:rPr>
                <w:sz w:val="20"/>
                <w:szCs w:val="20"/>
                <w:color w:val="auto"/>
              </w:rPr>
            </w:pPr>
            <w:r>
              <w:rPr>
                <w:rFonts w:ascii="Arial" w:cs="Arial" w:eastAsia="Arial" w:hAnsi="Arial"/>
                <w:sz w:val="11"/>
                <w:szCs w:val="11"/>
                <w:b w:val="1"/>
                <w:bCs w:val="1"/>
                <w:color w:val="auto"/>
              </w:rPr>
              <w:t>of (D)</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140"/>
              <w:spacing w:after="0"/>
              <w:rPr>
                <w:sz w:val="20"/>
                <w:szCs w:val="20"/>
                <w:color w:val="auto"/>
              </w:rPr>
            </w:pPr>
            <w:r>
              <w:rPr>
                <w:rFonts w:ascii="Arial" w:cs="Arial" w:eastAsia="Arial" w:hAnsi="Arial"/>
                <w:sz w:val="11"/>
                <w:szCs w:val="11"/>
                <w:b w:val="1"/>
                <w:bCs w:val="1"/>
                <w:color w:val="auto"/>
              </w:rPr>
              <w:t>(Instr. 3, 4</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ind w:left="140"/>
              <w:spacing w:after="0"/>
              <w:rPr>
                <w:sz w:val="20"/>
                <w:szCs w:val="20"/>
                <w:color w:val="auto"/>
              </w:rPr>
            </w:pPr>
            <w:r>
              <w:rPr>
                <w:rFonts w:ascii="Arial" w:cs="Arial" w:eastAsia="Arial" w:hAnsi="Arial"/>
                <w:sz w:val="11"/>
                <w:szCs w:val="11"/>
                <w:b w:val="1"/>
                <w:bCs w:val="1"/>
                <w:color w:val="auto"/>
              </w:rPr>
              <w:t>and 5)</w:t>
            </w: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800" w:type="dxa"/>
            <w:vAlign w:val="bottom"/>
            <w:gridSpan w:val="2"/>
          </w:tcPr>
          <w:p>
            <w:pPr>
              <w:jc w:val="center"/>
              <w:spacing w:after="0"/>
              <w:rPr>
                <w:sz w:val="20"/>
                <w:szCs w:val="20"/>
                <w:color w:val="auto"/>
              </w:rPr>
            </w:pPr>
            <w:r>
              <w:rPr>
                <w:rFonts w:ascii="Arial" w:cs="Arial" w:eastAsia="Arial" w:hAnsi="Arial"/>
                <w:sz w:val="11"/>
                <w:szCs w:val="11"/>
                <w:b w:val="1"/>
                <w:bCs w:val="1"/>
                <w:color w:val="auto"/>
              </w:rPr>
              <w:t>Expiration</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800" w:type="dxa"/>
            <w:vAlign w:val="bottom"/>
          </w:tcPr>
          <w:p>
            <w:pPr>
              <w:ind w:left="140"/>
              <w:spacing w:after="0"/>
              <w:rPr>
                <w:sz w:val="20"/>
                <w:szCs w:val="20"/>
                <w:color w:val="auto"/>
              </w:rPr>
            </w:pPr>
            <w:r>
              <w:rPr>
                <w:rFonts w:ascii="Arial" w:cs="Arial" w:eastAsia="Arial" w:hAnsi="Arial"/>
                <w:sz w:val="11"/>
                <w:szCs w:val="11"/>
                <w:b w:val="1"/>
                <w:bCs w:val="1"/>
                <w:color w:val="auto"/>
              </w:rPr>
              <w:t>(A)  (D)</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Exercisable</w:t>
            </w:r>
          </w:p>
        </w:tc>
        <w:tc>
          <w:tcPr>
            <w:tcW w:w="800" w:type="dxa"/>
            <w:vAlign w:val="bottom"/>
            <w:gridSpan w:val="2"/>
          </w:tcPr>
          <w:p>
            <w:pPr>
              <w:ind w:left="140"/>
              <w:spacing w:after="0"/>
              <w:rPr>
                <w:sz w:val="20"/>
                <w:szCs w:val="20"/>
                <w:color w:val="auto"/>
              </w:rPr>
            </w:pPr>
            <w:r>
              <w:rPr>
                <w:rFonts w:ascii="Arial" w:cs="Arial" w:eastAsia="Arial" w:hAnsi="Arial"/>
                <w:sz w:val="11"/>
                <w:szCs w:val="11"/>
                <w:b w:val="1"/>
                <w:bCs w:val="1"/>
                <w:color w:val="auto"/>
              </w:rPr>
              <w:t>Date</w:t>
            </w:r>
          </w:p>
        </w:tc>
        <w:tc>
          <w:tcPr>
            <w:tcW w:w="640" w:type="dxa"/>
            <w:vAlign w:val="bottom"/>
            <w:gridSpan w:val="2"/>
          </w:tcPr>
          <w:p>
            <w:pPr>
              <w:ind w:left="40"/>
              <w:spacing w:after="0"/>
              <w:rPr>
                <w:sz w:val="20"/>
                <w:szCs w:val="20"/>
                <w:color w:val="auto"/>
              </w:rPr>
            </w:pPr>
            <w:r>
              <w:rPr>
                <w:rFonts w:ascii="Arial" w:cs="Arial" w:eastAsia="Arial" w:hAnsi="Arial"/>
                <w:sz w:val="11"/>
                <w:szCs w:val="11"/>
                <w:b w:val="1"/>
                <w:bCs w:val="1"/>
                <w:color w:val="auto"/>
              </w:rPr>
              <w:t>Title</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LLC Units</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in</w:t>
            </w: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vMerge w:val="restart"/>
          </w:tcPr>
          <w:p>
            <w:pPr>
              <w:jc w:val="center"/>
              <w:ind w:right="82"/>
              <w:spacing w:after="0"/>
              <w:rPr>
                <w:sz w:val="20"/>
                <w:szCs w:val="20"/>
                <w:color w:val="auto"/>
              </w:rPr>
            </w:pPr>
            <w:r>
              <w:rPr>
                <w:rFonts w:ascii="Times New Roman" w:cs="Times New Roman" w:eastAsia="Times New Roman" w:hAnsi="Times New Roman"/>
                <w:sz w:val="11"/>
                <w:szCs w:val="11"/>
                <w:color w:val="008000"/>
                <w:w w:val="93"/>
              </w:rPr>
              <w:t>(7)</w:t>
            </w:r>
          </w:p>
        </w:tc>
        <w:tc>
          <w:tcPr>
            <w:tcW w:w="320" w:type="dxa"/>
            <w:vAlign w:val="bottom"/>
          </w:tcPr>
          <w:p>
            <w:pPr>
              <w:spacing w:after="0"/>
              <w:rPr>
                <w:sz w:val="12"/>
                <w:szCs w:val="12"/>
                <w:color w:val="auto"/>
              </w:rPr>
            </w:pPr>
          </w:p>
        </w:tc>
        <w:tc>
          <w:tcPr>
            <w:tcW w:w="480" w:type="dxa"/>
            <w:vAlign w:val="bottom"/>
            <w:vMerge w:val="restart"/>
          </w:tcPr>
          <w:p>
            <w:pPr>
              <w:jc w:val="center"/>
              <w:ind w:right="215"/>
              <w:spacing w:after="0"/>
              <w:rPr>
                <w:sz w:val="20"/>
                <w:szCs w:val="20"/>
                <w:color w:val="auto"/>
              </w:rPr>
            </w:pPr>
            <w:r>
              <w:rPr>
                <w:rFonts w:ascii="Times New Roman" w:cs="Times New Roman" w:eastAsia="Times New Roman" w:hAnsi="Times New Roman"/>
                <w:sz w:val="11"/>
                <w:szCs w:val="11"/>
                <w:color w:val="008000"/>
                <w:w w:val="93"/>
              </w:rPr>
              <w:t>(7)</w:t>
            </w:r>
          </w:p>
        </w:tc>
        <w:tc>
          <w:tcPr>
            <w:tcW w:w="60" w:type="dxa"/>
            <w:vAlign w:val="bottom"/>
          </w:tcPr>
          <w:p>
            <w:pPr>
              <w:spacing w:after="0"/>
              <w:rPr>
                <w:sz w:val="12"/>
                <w:szCs w:val="12"/>
                <w:color w:val="auto"/>
              </w:rPr>
            </w:pPr>
          </w:p>
        </w:tc>
        <w:tc>
          <w:tcPr>
            <w:tcW w:w="580" w:type="dxa"/>
            <w:vAlign w:val="bottom"/>
          </w:tcPr>
          <w:p>
            <w:pPr>
              <w:jc w:val="center"/>
              <w:ind w:right="72"/>
              <w:spacing w:after="0" w:line="140" w:lineRule="exact"/>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9,588</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vMerge w:val="restart"/>
          </w:tcPr>
          <w:p>
            <w:pPr>
              <w:jc w:val="center"/>
              <w:ind w:left="63"/>
              <w:spacing w:after="0" w:line="280" w:lineRule="exact"/>
              <w:rPr>
                <w:sz w:val="20"/>
                <w:szCs w:val="20"/>
                <w:color w:val="auto"/>
              </w:rPr>
            </w:pPr>
            <w:r>
              <w:rPr>
                <w:rFonts w:ascii="Times New Roman" w:cs="Times New Roman" w:eastAsia="Times New Roman" w:hAnsi="Times New Roman"/>
                <w:sz w:val="25"/>
                <w:szCs w:val="25"/>
                <w:color w:val="0000FF"/>
                <w:w w:val="80"/>
                <w:vertAlign w:val="subscript"/>
              </w:rPr>
              <w:t>D</w:t>
            </w:r>
            <w:r>
              <w:rPr>
                <w:rFonts w:ascii="Times New Roman" w:cs="Times New Roman" w:eastAsia="Times New Roman" w:hAnsi="Times New Roman"/>
                <w:sz w:val="11"/>
                <w:szCs w:val="11"/>
                <w:color w:val="008000"/>
                <w:w w:val="80"/>
              </w:rPr>
              <w:t>(1)</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Goosehead</w:t>
            </w:r>
          </w:p>
        </w:tc>
        <w:tc>
          <w:tcPr>
            <w:tcW w:w="760" w:type="dxa"/>
            <w:vAlign w:val="bottom"/>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40" w:type="dxa"/>
            <w:vAlign w:val="bottom"/>
          </w:tcPr>
          <w:p>
            <w:pPr>
              <w:jc w:val="right"/>
              <w:ind w:right="161"/>
              <w:spacing w:after="0" w:line="141" w:lineRule="exact"/>
              <w:rPr>
                <w:sz w:val="20"/>
                <w:szCs w:val="20"/>
                <w:color w:val="auto"/>
              </w:rPr>
            </w:pPr>
            <w:r>
              <w:rPr>
                <w:rFonts w:ascii="Times New Roman" w:cs="Times New Roman" w:eastAsia="Times New Roman" w:hAnsi="Times New Roman"/>
                <w:sz w:val="13"/>
                <w:szCs w:val="13"/>
                <w:color w:val="0000FF"/>
              </w:rPr>
              <w:t>05/27/2026</w:t>
            </w:r>
          </w:p>
        </w:tc>
        <w:tc>
          <w:tcPr>
            <w:tcW w:w="1100" w:type="dxa"/>
            <w:vAlign w:val="bottom"/>
          </w:tcPr>
          <w:p>
            <w:pPr>
              <w:spacing w:after="0"/>
              <w:rPr>
                <w:sz w:val="12"/>
                <w:szCs w:val="12"/>
                <w:color w:val="auto"/>
              </w:rPr>
            </w:pPr>
          </w:p>
        </w:tc>
        <w:tc>
          <w:tcPr>
            <w:tcW w:w="72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C</w:t>
            </w:r>
          </w:p>
        </w:tc>
        <w:tc>
          <w:tcPr>
            <w:tcW w:w="800" w:type="dxa"/>
            <w:vAlign w:val="bottom"/>
          </w:tcPr>
          <w:p>
            <w:pPr>
              <w:ind w:left="440"/>
              <w:spacing w:after="0" w:line="141" w:lineRule="exact"/>
              <w:rPr>
                <w:sz w:val="20"/>
                <w:szCs w:val="20"/>
                <w:color w:val="auto"/>
              </w:rPr>
            </w:pPr>
            <w:r>
              <w:rPr>
                <w:rFonts w:ascii="Times New Roman" w:cs="Times New Roman" w:eastAsia="Times New Roman" w:hAnsi="Times New Roman"/>
                <w:sz w:val="13"/>
                <w:szCs w:val="13"/>
                <w:color w:val="0000FF"/>
              </w:rPr>
              <w:t>9,588</w:t>
            </w:r>
          </w:p>
        </w:tc>
        <w:tc>
          <w:tcPr>
            <w:tcW w:w="2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640" w:type="dxa"/>
            <w:vAlign w:val="bottom"/>
            <w:gridSpan w:val="2"/>
          </w:tcPr>
          <w:p>
            <w:pPr>
              <w:ind w:left="4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7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2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6,995,180</w:t>
            </w:r>
          </w:p>
        </w:tc>
        <w:tc>
          <w:tcPr>
            <w:tcW w:w="68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Financial,</w:t>
            </w: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center"/>
              <w:ind w:right="72"/>
              <w:spacing w:after="0" w:line="140" w:lineRule="exact"/>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LLC</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LLC Units</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in</w:t>
            </w: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vMerge w:val="restart"/>
          </w:tcPr>
          <w:p>
            <w:pPr>
              <w:jc w:val="center"/>
              <w:ind w:right="82"/>
              <w:spacing w:after="0"/>
              <w:rPr>
                <w:sz w:val="20"/>
                <w:szCs w:val="20"/>
                <w:color w:val="auto"/>
              </w:rPr>
            </w:pPr>
            <w:r>
              <w:rPr>
                <w:rFonts w:ascii="Times New Roman" w:cs="Times New Roman" w:eastAsia="Times New Roman" w:hAnsi="Times New Roman"/>
                <w:sz w:val="11"/>
                <w:szCs w:val="11"/>
                <w:color w:val="008000"/>
                <w:w w:val="93"/>
              </w:rPr>
              <w:t>(7)</w:t>
            </w:r>
          </w:p>
        </w:tc>
        <w:tc>
          <w:tcPr>
            <w:tcW w:w="320" w:type="dxa"/>
            <w:vAlign w:val="bottom"/>
          </w:tcPr>
          <w:p>
            <w:pPr>
              <w:spacing w:after="0"/>
              <w:rPr>
                <w:sz w:val="12"/>
                <w:szCs w:val="12"/>
                <w:color w:val="auto"/>
              </w:rPr>
            </w:pPr>
          </w:p>
        </w:tc>
        <w:tc>
          <w:tcPr>
            <w:tcW w:w="480" w:type="dxa"/>
            <w:vAlign w:val="bottom"/>
            <w:vMerge w:val="restart"/>
          </w:tcPr>
          <w:p>
            <w:pPr>
              <w:jc w:val="center"/>
              <w:ind w:right="215"/>
              <w:spacing w:after="0"/>
              <w:rPr>
                <w:sz w:val="20"/>
                <w:szCs w:val="20"/>
                <w:color w:val="auto"/>
              </w:rPr>
            </w:pPr>
            <w:r>
              <w:rPr>
                <w:rFonts w:ascii="Times New Roman" w:cs="Times New Roman" w:eastAsia="Times New Roman" w:hAnsi="Times New Roman"/>
                <w:sz w:val="11"/>
                <w:szCs w:val="11"/>
                <w:color w:val="008000"/>
                <w:w w:val="93"/>
              </w:rPr>
              <w:t>(7)</w:t>
            </w:r>
          </w:p>
        </w:tc>
        <w:tc>
          <w:tcPr>
            <w:tcW w:w="60" w:type="dxa"/>
            <w:vAlign w:val="bottom"/>
          </w:tcPr>
          <w:p>
            <w:pPr>
              <w:spacing w:after="0"/>
              <w:rPr>
                <w:sz w:val="12"/>
                <w:szCs w:val="12"/>
                <w:color w:val="auto"/>
              </w:rPr>
            </w:pPr>
          </w:p>
        </w:tc>
        <w:tc>
          <w:tcPr>
            <w:tcW w:w="580" w:type="dxa"/>
            <w:vAlign w:val="bottom"/>
          </w:tcPr>
          <w:p>
            <w:pPr>
              <w:jc w:val="center"/>
              <w:ind w:right="72"/>
              <w:spacing w:after="0" w:line="140" w:lineRule="exact"/>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ind w:right="6"/>
              <w:spacing w:after="0"/>
              <w:rPr>
                <w:sz w:val="20"/>
                <w:szCs w:val="20"/>
                <w:color w:val="auto"/>
              </w:rPr>
            </w:pPr>
            <w:r>
              <w:rPr>
                <w:rFonts w:ascii="Times New Roman" w:cs="Times New Roman" w:eastAsia="Times New Roman" w:hAnsi="Times New Roman"/>
                <w:sz w:val="17"/>
                <w:szCs w:val="17"/>
                <w:color w:val="0000FF"/>
                <w:w w:val="97"/>
              </w:rPr>
              <w:t>182,349</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vMerge w:val="restart"/>
          </w:tcPr>
          <w:p>
            <w:pPr>
              <w:jc w:val="center"/>
              <w:ind w:left="63"/>
              <w:spacing w:after="0" w:line="280" w:lineRule="exact"/>
              <w:rPr>
                <w:sz w:val="20"/>
                <w:szCs w:val="20"/>
                <w:color w:val="auto"/>
              </w:rPr>
            </w:pPr>
            <w:r>
              <w:rPr>
                <w:rFonts w:ascii="Times New Roman" w:cs="Times New Roman" w:eastAsia="Times New Roman" w:hAnsi="Times New Roman"/>
                <w:sz w:val="25"/>
                <w:szCs w:val="25"/>
                <w:color w:val="0000FF"/>
                <w:w w:val="80"/>
                <w:vertAlign w:val="subscript"/>
              </w:rPr>
              <w:t>D</w:t>
            </w:r>
            <w:r>
              <w:rPr>
                <w:rFonts w:ascii="Times New Roman" w:cs="Times New Roman" w:eastAsia="Times New Roman" w:hAnsi="Times New Roman"/>
                <w:sz w:val="11"/>
                <w:szCs w:val="11"/>
                <w:color w:val="008000"/>
                <w:w w:val="80"/>
              </w:rPr>
              <w:t>(4)</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Goosehead</w:t>
            </w:r>
          </w:p>
        </w:tc>
        <w:tc>
          <w:tcPr>
            <w:tcW w:w="760" w:type="dxa"/>
            <w:vAlign w:val="bottom"/>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640" w:type="dxa"/>
            <w:vAlign w:val="bottom"/>
            <w:gridSpan w:val="2"/>
          </w:tcPr>
          <w:p>
            <w:pPr>
              <w:ind w:left="4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7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4"/>
              </w:rPr>
              <w:t>182,349</w:t>
            </w:r>
          </w:p>
        </w:tc>
        <w:tc>
          <w:tcPr>
            <w:tcW w:w="68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Financial,</w:t>
            </w: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center"/>
              <w:ind w:right="72"/>
              <w:spacing w:after="0" w:line="140" w:lineRule="exact"/>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LLC</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LLC Units</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in</w:t>
            </w: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vMerge w:val="restart"/>
          </w:tcPr>
          <w:p>
            <w:pPr>
              <w:jc w:val="center"/>
              <w:ind w:right="82"/>
              <w:spacing w:after="0"/>
              <w:rPr>
                <w:sz w:val="20"/>
                <w:szCs w:val="20"/>
                <w:color w:val="auto"/>
              </w:rPr>
            </w:pPr>
            <w:r>
              <w:rPr>
                <w:rFonts w:ascii="Times New Roman" w:cs="Times New Roman" w:eastAsia="Times New Roman" w:hAnsi="Times New Roman"/>
                <w:sz w:val="11"/>
                <w:szCs w:val="11"/>
                <w:color w:val="008000"/>
                <w:w w:val="93"/>
              </w:rPr>
              <w:t>(7)</w:t>
            </w:r>
          </w:p>
        </w:tc>
        <w:tc>
          <w:tcPr>
            <w:tcW w:w="320" w:type="dxa"/>
            <w:vAlign w:val="bottom"/>
          </w:tcPr>
          <w:p>
            <w:pPr>
              <w:spacing w:after="0"/>
              <w:rPr>
                <w:sz w:val="12"/>
                <w:szCs w:val="12"/>
                <w:color w:val="auto"/>
              </w:rPr>
            </w:pPr>
          </w:p>
        </w:tc>
        <w:tc>
          <w:tcPr>
            <w:tcW w:w="480" w:type="dxa"/>
            <w:vAlign w:val="bottom"/>
            <w:vMerge w:val="restart"/>
          </w:tcPr>
          <w:p>
            <w:pPr>
              <w:jc w:val="center"/>
              <w:ind w:right="215"/>
              <w:spacing w:after="0"/>
              <w:rPr>
                <w:sz w:val="20"/>
                <w:szCs w:val="20"/>
                <w:color w:val="auto"/>
              </w:rPr>
            </w:pPr>
            <w:r>
              <w:rPr>
                <w:rFonts w:ascii="Times New Roman" w:cs="Times New Roman" w:eastAsia="Times New Roman" w:hAnsi="Times New Roman"/>
                <w:sz w:val="11"/>
                <w:szCs w:val="11"/>
                <w:color w:val="008000"/>
                <w:w w:val="93"/>
              </w:rPr>
              <w:t>(7)</w:t>
            </w:r>
          </w:p>
        </w:tc>
        <w:tc>
          <w:tcPr>
            <w:tcW w:w="60" w:type="dxa"/>
            <w:vAlign w:val="bottom"/>
          </w:tcPr>
          <w:p>
            <w:pPr>
              <w:spacing w:after="0"/>
              <w:rPr>
                <w:sz w:val="12"/>
                <w:szCs w:val="12"/>
                <w:color w:val="auto"/>
              </w:rPr>
            </w:pPr>
          </w:p>
        </w:tc>
        <w:tc>
          <w:tcPr>
            <w:tcW w:w="580" w:type="dxa"/>
            <w:vAlign w:val="bottom"/>
          </w:tcPr>
          <w:p>
            <w:pPr>
              <w:jc w:val="center"/>
              <w:ind w:right="72"/>
              <w:spacing w:after="0" w:line="140" w:lineRule="exact"/>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ind w:right="6"/>
              <w:spacing w:after="0"/>
              <w:rPr>
                <w:sz w:val="20"/>
                <w:szCs w:val="20"/>
                <w:color w:val="auto"/>
              </w:rPr>
            </w:pPr>
            <w:r>
              <w:rPr>
                <w:rFonts w:ascii="Times New Roman" w:cs="Times New Roman" w:eastAsia="Times New Roman" w:hAnsi="Times New Roman"/>
                <w:sz w:val="17"/>
                <w:szCs w:val="17"/>
                <w:color w:val="0000FF"/>
                <w:w w:val="97"/>
              </w:rPr>
              <w:t>132,349</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vMerge w:val="restart"/>
          </w:tcPr>
          <w:p>
            <w:pPr>
              <w:jc w:val="center"/>
              <w:ind w:left="63"/>
              <w:spacing w:after="0" w:line="280" w:lineRule="exact"/>
              <w:rPr>
                <w:sz w:val="20"/>
                <w:szCs w:val="20"/>
                <w:color w:val="auto"/>
              </w:rPr>
            </w:pPr>
            <w:r>
              <w:rPr>
                <w:rFonts w:ascii="Times New Roman" w:cs="Times New Roman" w:eastAsia="Times New Roman" w:hAnsi="Times New Roman"/>
                <w:sz w:val="25"/>
                <w:szCs w:val="25"/>
                <w:color w:val="0000FF"/>
                <w:w w:val="80"/>
                <w:vertAlign w:val="subscript"/>
              </w:rPr>
              <w:t>D</w:t>
            </w:r>
            <w:r>
              <w:rPr>
                <w:rFonts w:ascii="Times New Roman" w:cs="Times New Roman" w:eastAsia="Times New Roman" w:hAnsi="Times New Roman"/>
                <w:sz w:val="11"/>
                <w:szCs w:val="11"/>
                <w:color w:val="008000"/>
                <w:w w:val="80"/>
              </w:rPr>
              <w:t>(5)</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Goosehead</w:t>
            </w:r>
          </w:p>
        </w:tc>
        <w:tc>
          <w:tcPr>
            <w:tcW w:w="760" w:type="dxa"/>
            <w:vAlign w:val="bottom"/>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640" w:type="dxa"/>
            <w:vAlign w:val="bottom"/>
            <w:gridSpan w:val="2"/>
          </w:tcPr>
          <w:p>
            <w:pPr>
              <w:ind w:left="4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7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4"/>
              </w:rPr>
              <w:t>132,349</w:t>
            </w:r>
          </w:p>
        </w:tc>
        <w:tc>
          <w:tcPr>
            <w:tcW w:w="68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Financial,</w:t>
            </w: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center"/>
              <w:ind w:right="72"/>
              <w:spacing w:after="0" w:line="140" w:lineRule="exact"/>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LLC</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LLC Units</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in</w:t>
            </w: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vMerge w:val="restart"/>
          </w:tcPr>
          <w:p>
            <w:pPr>
              <w:jc w:val="center"/>
              <w:ind w:right="82"/>
              <w:spacing w:after="0"/>
              <w:rPr>
                <w:sz w:val="20"/>
                <w:szCs w:val="20"/>
                <w:color w:val="auto"/>
              </w:rPr>
            </w:pPr>
            <w:r>
              <w:rPr>
                <w:rFonts w:ascii="Times New Roman" w:cs="Times New Roman" w:eastAsia="Times New Roman" w:hAnsi="Times New Roman"/>
                <w:sz w:val="11"/>
                <w:szCs w:val="11"/>
                <w:color w:val="008000"/>
                <w:w w:val="93"/>
              </w:rPr>
              <w:t>(7)</w:t>
            </w:r>
          </w:p>
        </w:tc>
        <w:tc>
          <w:tcPr>
            <w:tcW w:w="320" w:type="dxa"/>
            <w:vAlign w:val="bottom"/>
          </w:tcPr>
          <w:p>
            <w:pPr>
              <w:spacing w:after="0"/>
              <w:rPr>
                <w:sz w:val="12"/>
                <w:szCs w:val="12"/>
                <w:color w:val="auto"/>
              </w:rPr>
            </w:pPr>
          </w:p>
        </w:tc>
        <w:tc>
          <w:tcPr>
            <w:tcW w:w="480" w:type="dxa"/>
            <w:vAlign w:val="bottom"/>
            <w:vMerge w:val="restart"/>
          </w:tcPr>
          <w:p>
            <w:pPr>
              <w:jc w:val="center"/>
              <w:ind w:right="215"/>
              <w:spacing w:after="0"/>
              <w:rPr>
                <w:sz w:val="20"/>
                <w:szCs w:val="20"/>
                <w:color w:val="auto"/>
              </w:rPr>
            </w:pPr>
            <w:r>
              <w:rPr>
                <w:rFonts w:ascii="Times New Roman" w:cs="Times New Roman" w:eastAsia="Times New Roman" w:hAnsi="Times New Roman"/>
                <w:sz w:val="11"/>
                <w:szCs w:val="11"/>
                <w:color w:val="008000"/>
                <w:w w:val="93"/>
              </w:rPr>
              <w:t>(7)</w:t>
            </w:r>
          </w:p>
        </w:tc>
        <w:tc>
          <w:tcPr>
            <w:tcW w:w="60" w:type="dxa"/>
            <w:vAlign w:val="bottom"/>
          </w:tcPr>
          <w:p>
            <w:pPr>
              <w:spacing w:after="0"/>
              <w:rPr>
                <w:sz w:val="12"/>
                <w:szCs w:val="12"/>
                <w:color w:val="auto"/>
              </w:rPr>
            </w:pPr>
          </w:p>
        </w:tc>
        <w:tc>
          <w:tcPr>
            <w:tcW w:w="580" w:type="dxa"/>
            <w:vAlign w:val="bottom"/>
          </w:tcPr>
          <w:p>
            <w:pPr>
              <w:jc w:val="center"/>
              <w:ind w:right="72"/>
              <w:spacing w:after="0" w:line="140" w:lineRule="exact"/>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ind w:right="6"/>
              <w:spacing w:after="0"/>
              <w:rPr>
                <w:sz w:val="20"/>
                <w:szCs w:val="20"/>
                <w:color w:val="auto"/>
              </w:rPr>
            </w:pPr>
            <w:r>
              <w:rPr>
                <w:rFonts w:ascii="Times New Roman" w:cs="Times New Roman" w:eastAsia="Times New Roman" w:hAnsi="Times New Roman"/>
                <w:sz w:val="17"/>
                <w:szCs w:val="17"/>
                <w:color w:val="0000FF"/>
                <w:w w:val="96"/>
              </w:rPr>
              <w:t>1,766,355</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By Trust</w:t>
            </w:r>
            <w:r>
              <w:rPr>
                <w:rFonts w:ascii="Times New Roman" w:cs="Times New Roman" w:eastAsia="Times New Roman" w:hAnsi="Times New Roman"/>
                <w:sz w:val="21"/>
                <w:szCs w:val="21"/>
                <w:color w:val="008000"/>
                <w:vertAlign w:val="superscript"/>
              </w:rPr>
              <w:t>(6)</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Goosehead</w:t>
            </w:r>
          </w:p>
        </w:tc>
        <w:tc>
          <w:tcPr>
            <w:tcW w:w="760" w:type="dxa"/>
            <w:vAlign w:val="bottom"/>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640" w:type="dxa"/>
            <w:vAlign w:val="bottom"/>
            <w:gridSpan w:val="2"/>
          </w:tcPr>
          <w:p>
            <w:pPr>
              <w:ind w:left="4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7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1,766,355</w:t>
            </w:r>
          </w:p>
        </w:tc>
        <w:tc>
          <w:tcPr>
            <w:tcW w:w="680" w:type="dxa"/>
            <w:vAlign w:val="bottom"/>
          </w:tcPr>
          <w:p>
            <w:pPr>
              <w:jc w:val="center"/>
              <w:ind w:left="63"/>
              <w:spacing w:after="0" w:line="141" w:lineRule="exact"/>
              <w:rPr>
                <w:sz w:val="20"/>
                <w:szCs w:val="20"/>
                <w:color w:val="auto"/>
              </w:rPr>
            </w:pPr>
            <w:r>
              <w:rPr>
                <w:rFonts w:ascii="Times New Roman" w:cs="Times New Roman" w:eastAsia="Times New Roman" w:hAnsi="Times New Roman"/>
                <w:sz w:val="13"/>
                <w:szCs w:val="13"/>
                <w:color w:val="0000FF"/>
                <w:w w:val="91"/>
              </w:rPr>
              <w:t>I</w:t>
            </w: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Financial,</w:t>
            </w: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jc w:val="center"/>
              <w:ind w:right="72"/>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LLC</w:t>
      </w:r>
    </w:p>
    <w:p>
      <w:pPr>
        <w:spacing w:after="0" w:line="13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sectPr>
          <w:pgSz w:w="11900" w:h="16838" w:orient="portrait"/>
          <w:cols w:equalWidth="0" w:num="1">
            <w:col w:w="11080"/>
          </w:cols>
          <w:pgMar w:left="460" w:top="216" w:right="359" w:bottom="0" w:gutter="0" w:footer="0" w:header="0"/>
          <w:type w:val="continuous"/>
        </w:sectPr>
      </w:pPr>
    </w:p>
    <w:bookmarkStart w:id="1" w:name="page2"/>
    <w:bookmarkEnd w:id="1"/>
    <w:p>
      <w:pPr>
        <w:ind w:left="10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Mark &amp; Robyn Jones Descendants Trust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-128905</wp:posOffset>
            </wp:positionV>
            <wp:extent cx="2806700" cy="4961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06700" cy="4961255"/>
                    </a:xfrm>
                    <a:prstGeom prst="rect">
                      <a:avLst/>
                    </a:prstGeom>
                    <a:noFill/>
                  </pic:spPr>
                </pic:pic>
              </a:graphicData>
            </a:graphic>
          </wp:anchor>
        </w:drawing>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20" w:type="dxa"/>
            <w:vAlign w:val="bottom"/>
            <w:gridSpan w:val="3"/>
          </w:tcPr>
          <w:p>
            <w:pPr>
              <w:ind w:left="26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65"/>
        </w:trPr>
        <w:tc>
          <w:tcPr>
            <w:tcW w:w="80" w:type="dxa"/>
            <w:vAlign w:val="bottom"/>
          </w:tcPr>
          <w:p>
            <w:pPr>
              <w:spacing w:after="0"/>
              <w:rPr>
                <w:sz w:val="23"/>
                <w:szCs w:val="23"/>
                <w:color w:val="auto"/>
              </w:rPr>
            </w:pPr>
          </w:p>
        </w:tc>
        <w:tc>
          <w:tcPr>
            <w:tcW w:w="278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w w:val="97"/>
              </w:rPr>
              <w:t>C/O GOOSEHEAD INSURANCE, INC.</w:t>
            </w: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55"/>
        </w:trPr>
        <w:tc>
          <w:tcPr>
            <w:tcW w:w="80" w:type="dxa"/>
            <w:vAlign w:val="bottom"/>
          </w:tcPr>
          <w:p>
            <w:pPr>
              <w:spacing w:after="0"/>
              <w:rPr>
                <w:sz w:val="22"/>
                <w:szCs w:val="22"/>
                <w:color w:val="auto"/>
              </w:rPr>
            </w:pPr>
          </w:p>
        </w:tc>
        <w:tc>
          <w:tcPr>
            <w:tcW w:w="426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0000FF"/>
              </w:rPr>
              <w:t>1500 SOLANA BLVD., BLDG 4, STE 4500</w:t>
            </w:r>
          </w:p>
        </w:tc>
      </w:tr>
      <w:tr>
        <w:trPr>
          <w:trHeight w:val="146"/>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6"/>
        </w:trPr>
        <w:tc>
          <w:tcPr>
            <w:tcW w:w="12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26"/>
        </w:trPr>
        <w:tc>
          <w:tcPr>
            <w:tcW w:w="80" w:type="dxa"/>
            <w:vAlign w:val="bottom"/>
          </w:tcPr>
          <w:p>
            <w:pPr>
              <w:spacing w:after="0"/>
              <w:rPr>
                <w:sz w:val="19"/>
                <w:szCs w:val="19"/>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WESTLAKE</w:t>
            </w:r>
          </w:p>
        </w:tc>
        <w:tc>
          <w:tcPr>
            <w:tcW w:w="1620" w:type="dxa"/>
            <w:vAlign w:val="bottom"/>
            <w:gridSpan w:val="3"/>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76262</w:t>
            </w:r>
          </w:p>
        </w:tc>
        <w:tc>
          <w:tcPr>
            <w:tcW w:w="80" w:type="dxa"/>
            <w:vAlign w:val="bottom"/>
          </w:tcPr>
          <w:p>
            <w:pPr>
              <w:spacing w:after="0"/>
              <w:rPr>
                <w:sz w:val="19"/>
                <w:szCs w:val="19"/>
                <w:color w:val="auto"/>
              </w:rPr>
            </w:pPr>
          </w:p>
        </w:tc>
      </w:tr>
      <w:tr>
        <w:trPr>
          <w:trHeight w:val="146"/>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5"/>
        </w:trPr>
        <w:tc>
          <w:tcPr>
            <w:tcW w:w="8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620" w:type="dxa"/>
            <w:vAlign w:val="bottom"/>
            <w:gridSpan w:val="3"/>
          </w:tcPr>
          <w:p>
            <w:pPr>
              <w:ind w:left="26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0"/>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gridSpan w:val="2"/>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42"/>
        </w:trPr>
        <w:tc>
          <w:tcPr>
            <w:tcW w:w="28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80" w:type="dxa"/>
            <w:vAlign w:val="bottom"/>
          </w:tcPr>
          <w:p>
            <w:pPr>
              <w:spacing w:after="0"/>
              <w:rPr>
                <w:sz w:val="18"/>
                <w:szCs w:val="18"/>
                <w:color w:val="auto"/>
              </w:rPr>
            </w:pPr>
          </w:p>
        </w:tc>
        <w:tc>
          <w:tcPr>
            <w:tcW w:w="2780" w:type="dxa"/>
            <w:vAlign w:val="bottom"/>
            <w:gridSpan w:val="5"/>
          </w:tcPr>
          <w:p>
            <w:pPr>
              <w:ind w:left="20"/>
              <w:spacing w:after="0" w:line="216" w:lineRule="exact"/>
              <w:rPr>
                <w:rFonts w:ascii="Times New Roman" w:cs="Times New Roman" w:eastAsia="Times New Roman" w:hAnsi="Times New Roman"/>
                <w:sz w:val="20"/>
                <w:szCs w:val="20"/>
                <w:color w:val="0000EE"/>
              </w:rPr>
            </w:pPr>
            <w:hyperlink r:id="rId16">
              <w:r>
                <w:rPr>
                  <w:rFonts w:ascii="Times New Roman" w:cs="Times New Roman" w:eastAsia="Times New Roman" w:hAnsi="Times New Roman"/>
                  <w:sz w:val="20"/>
                  <w:szCs w:val="20"/>
                  <w:color w:val="0000EE"/>
                </w:rPr>
                <w:t>Jones Mark Evan</w:t>
              </w:r>
            </w:hyperlink>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4"/>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140" w:type="dxa"/>
            <w:vAlign w:val="bottom"/>
            <w:tcBorders>
              <w:top w:val="single" w:sz="8" w:color="0000EE"/>
              <w:bottom w:val="single" w:sz="8" w:color="9A9A9A"/>
            </w:tcBorders>
          </w:tcPr>
          <w:p>
            <w:pPr>
              <w:spacing w:after="0"/>
              <w:rPr>
                <w:sz w:val="14"/>
                <w:szCs w:val="14"/>
                <w:color w:val="auto"/>
              </w:rPr>
            </w:pPr>
          </w:p>
        </w:tc>
        <w:tc>
          <w:tcPr>
            <w:tcW w:w="280" w:type="dxa"/>
            <w:vAlign w:val="bottom"/>
            <w:tcBorders>
              <w:top w:val="single" w:sz="8" w:color="0000EE"/>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r>
      <w:tr>
        <w:trPr>
          <w:trHeight w:val="295"/>
        </w:trPr>
        <w:tc>
          <w:tcPr>
            <w:tcW w:w="8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20" w:type="dxa"/>
            <w:vAlign w:val="bottom"/>
            <w:gridSpan w:val="3"/>
          </w:tcPr>
          <w:p>
            <w:pPr>
              <w:ind w:left="26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65"/>
        </w:trPr>
        <w:tc>
          <w:tcPr>
            <w:tcW w:w="80" w:type="dxa"/>
            <w:vAlign w:val="bottom"/>
          </w:tcPr>
          <w:p>
            <w:pPr>
              <w:spacing w:after="0"/>
              <w:rPr>
                <w:sz w:val="23"/>
                <w:szCs w:val="23"/>
                <w:color w:val="auto"/>
              </w:rPr>
            </w:pPr>
          </w:p>
        </w:tc>
        <w:tc>
          <w:tcPr>
            <w:tcW w:w="278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w w:val="97"/>
              </w:rPr>
              <w:t>C/O GOOSEHEAD INSURANCE, INC.</w:t>
            </w: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55"/>
        </w:trPr>
        <w:tc>
          <w:tcPr>
            <w:tcW w:w="80" w:type="dxa"/>
            <w:vAlign w:val="bottom"/>
          </w:tcPr>
          <w:p>
            <w:pPr>
              <w:spacing w:after="0"/>
              <w:rPr>
                <w:sz w:val="22"/>
                <w:szCs w:val="22"/>
                <w:color w:val="auto"/>
              </w:rPr>
            </w:pPr>
          </w:p>
        </w:tc>
        <w:tc>
          <w:tcPr>
            <w:tcW w:w="426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0000FF"/>
              </w:rPr>
              <w:t>1500 SOLANA BLVD., BLDG 4, STE 4500</w:t>
            </w:r>
          </w:p>
        </w:tc>
      </w:tr>
      <w:tr>
        <w:trPr>
          <w:trHeight w:val="146"/>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6"/>
        </w:trPr>
        <w:tc>
          <w:tcPr>
            <w:tcW w:w="12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26"/>
        </w:trPr>
        <w:tc>
          <w:tcPr>
            <w:tcW w:w="80" w:type="dxa"/>
            <w:vAlign w:val="bottom"/>
          </w:tcPr>
          <w:p>
            <w:pPr>
              <w:spacing w:after="0"/>
              <w:rPr>
                <w:sz w:val="19"/>
                <w:szCs w:val="19"/>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WESTLAKE</w:t>
            </w:r>
          </w:p>
        </w:tc>
        <w:tc>
          <w:tcPr>
            <w:tcW w:w="1620" w:type="dxa"/>
            <w:vAlign w:val="bottom"/>
            <w:gridSpan w:val="3"/>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76262</w:t>
            </w:r>
          </w:p>
        </w:tc>
        <w:tc>
          <w:tcPr>
            <w:tcW w:w="80" w:type="dxa"/>
            <w:vAlign w:val="bottom"/>
          </w:tcPr>
          <w:p>
            <w:pPr>
              <w:spacing w:after="0"/>
              <w:rPr>
                <w:sz w:val="19"/>
                <w:szCs w:val="19"/>
                <w:color w:val="auto"/>
              </w:rPr>
            </w:pPr>
          </w:p>
        </w:tc>
      </w:tr>
      <w:tr>
        <w:trPr>
          <w:trHeight w:val="146"/>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5"/>
        </w:trPr>
        <w:tc>
          <w:tcPr>
            <w:tcW w:w="8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620" w:type="dxa"/>
            <w:vAlign w:val="bottom"/>
            <w:gridSpan w:val="3"/>
          </w:tcPr>
          <w:p>
            <w:pPr>
              <w:ind w:left="26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0"/>
        </w:trPr>
        <w:tc>
          <w:tcPr>
            <w:tcW w:w="100" w:type="dxa"/>
            <w:vAlign w:val="bottom"/>
            <w:tcBorders>
              <w:bottom w:val="single" w:sz="8" w:color="2C2C2C"/>
            </w:tcBorders>
            <w:gridSpan w:val="2"/>
          </w:tcPr>
          <w:p>
            <w:pPr>
              <w:spacing w:after="0"/>
              <w:rPr>
                <w:sz w:val="6"/>
                <w:szCs w:val="6"/>
                <w:color w:val="auto"/>
              </w:rPr>
            </w:pPr>
          </w:p>
        </w:tc>
        <w:tc>
          <w:tcPr>
            <w:tcW w:w="1420" w:type="dxa"/>
            <w:vAlign w:val="bottom"/>
            <w:tcBorders>
              <w:bottom w:val="single" w:sz="8" w:color="2C2C2C"/>
            </w:tcBorders>
            <w:gridSpan w:val="2"/>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42"/>
        </w:trPr>
        <w:tc>
          <w:tcPr>
            <w:tcW w:w="28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80" w:type="dxa"/>
            <w:vAlign w:val="bottom"/>
          </w:tcPr>
          <w:p>
            <w:pPr>
              <w:spacing w:after="0"/>
              <w:rPr>
                <w:sz w:val="18"/>
                <w:szCs w:val="18"/>
                <w:color w:val="auto"/>
              </w:rPr>
            </w:pPr>
          </w:p>
        </w:tc>
        <w:tc>
          <w:tcPr>
            <w:tcW w:w="2780" w:type="dxa"/>
            <w:vAlign w:val="bottom"/>
            <w:gridSpan w:val="5"/>
          </w:tcPr>
          <w:p>
            <w:pPr>
              <w:ind w:left="20"/>
              <w:spacing w:after="0" w:line="216" w:lineRule="exact"/>
              <w:rPr>
                <w:rFonts w:ascii="Times New Roman" w:cs="Times New Roman" w:eastAsia="Times New Roman" w:hAnsi="Times New Roman"/>
                <w:sz w:val="20"/>
                <w:szCs w:val="20"/>
                <w:color w:val="0000EE"/>
              </w:rPr>
            </w:pPr>
            <w:hyperlink r:id="rId17">
              <w:r>
                <w:rPr>
                  <w:rFonts w:ascii="Times New Roman" w:cs="Times New Roman" w:eastAsia="Times New Roman" w:hAnsi="Times New Roman"/>
                  <w:sz w:val="20"/>
                  <w:szCs w:val="20"/>
                  <w:color w:val="0000EE"/>
                </w:rPr>
                <w:t>Jones Robyn Mary Elizabeth</w:t>
              </w:r>
            </w:hyperlink>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4"/>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140" w:type="dxa"/>
            <w:vAlign w:val="bottom"/>
            <w:tcBorders>
              <w:top w:val="single" w:sz="8" w:color="0000EE"/>
              <w:bottom w:val="single" w:sz="8" w:color="9A9A9A"/>
            </w:tcBorders>
          </w:tcPr>
          <w:p>
            <w:pPr>
              <w:spacing w:after="0"/>
              <w:rPr>
                <w:sz w:val="14"/>
                <w:szCs w:val="14"/>
                <w:color w:val="auto"/>
              </w:rPr>
            </w:pPr>
          </w:p>
        </w:tc>
        <w:tc>
          <w:tcPr>
            <w:tcW w:w="280" w:type="dxa"/>
            <w:vAlign w:val="bottom"/>
            <w:tcBorders>
              <w:top w:val="single" w:sz="8" w:color="0000EE"/>
              <w:bottom w:val="single" w:sz="8" w:color="9A9A9A"/>
            </w:tcBorders>
          </w:tcPr>
          <w:p>
            <w:pPr>
              <w:spacing w:after="0"/>
              <w:rPr>
                <w:sz w:val="14"/>
                <w:szCs w:val="14"/>
                <w:color w:val="auto"/>
              </w:rPr>
            </w:pPr>
          </w:p>
        </w:tc>
        <w:tc>
          <w:tcPr>
            <w:tcW w:w="940" w:type="dxa"/>
            <w:vAlign w:val="bottom"/>
            <w:tcBorders>
              <w:top w:val="single" w:sz="8" w:color="0000EE"/>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r>
      <w:tr>
        <w:trPr>
          <w:trHeight w:val="295"/>
        </w:trPr>
        <w:tc>
          <w:tcPr>
            <w:tcW w:w="8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20" w:type="dxa"/>
            <w:vAlign w:val="bottom"/>
            <w:gridSpan w:val="3"/>
          </w:tcPr>
          <w:p>
            <w:pPr>
              <w:ind w:left="26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65"/>
        </w:trPr>
        <w:tc>
          <w:tcPr>
            <w:tcW w:w="80" w:type="dxa"/>
            <w:vAlign w:val="bottom"/>
          </w:tcPr>
          <w:p>
            <w:pPr>
              <w:spacing w:after="0"/>
              <w:rPr>
                <w:sz w:val="23"/>
                <w:szCs w:val="23"/>
                <w:color w:val="auto"/>
              </w:rPr>
            </w:pPr>
          </w:p>
        </w:tc>
        <w:tc>
          <w:tcPr>
            <w:tcW w:w="278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w w:val="97"/>
              </w:rPr>
              <w:t>C/O GOOSEHEAD INSURANCE, INC.</w:t>
            </w: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55"/>
        </w:trPr>
        <w:tc>
          <w:tcPr>
            <w:tcW w:w="80" w:type="dxa"/>
            <w:vAlign w:val="bottom"/>
          </w:tcPr>
          <w:p>
            <w:pPr>
              <w:spacing w:after="0"/>
              <w:rPr>
                <w:sz w:val="22"/>
                <w:szCs w:val="22"/>
                <w:color w:val="auto"/>
              </w:rPr>
            </w:pPr>
          </w:p>
        </w:tc>
        <w:tc>
          <w:tcPr>
            <w:tcW w:w="426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0000FF"/>
              </w:rPr>
              <w:t>1500 SOLANA BLVD., BLDG 4, STE 4500</w:t>
            </w:r>
          </w:p>
        </w:tc>
      </w:tr>
      <w:tr>
        <w:trPr>
          <w:trHeight w:val="146"/>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6"/>
        </w:trPr>
        <w:tc>
          <w:tcPr>
            <w:tcW w:w="12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26"/>
        </w:trPr>
        <w:tc>
          <w:tcPr>
            <w:tcW w:w="80" w:type="dxa"/>
            <w:vAlign w:val="bottom"/>
          </w:tcPr>
          <w:p>
            <w:pPr>
              <w:spacing w:after="0"/>
              <w:rPr>
                <w:sz w:val="19"/>
                <w:szCs w:val="19"/>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WESTLAKE</w:t>
            </w:r>
          </w:p>
        </w:tc>
        <w:tc>
          <w:tcPr>
            <w:tcW w:w="1620" w:type="dxa"/>
            <w:vAlign w:val="bottom"/>
            <w:gridSpan w:val="3"/>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76262</w:t>
            </w:r>
          </w:p>
        </w:tc>
        <w:tc>
          <w:tcPr>
            <w:tcW w:w="80" w:type="dxa"/>
            <w:vAlign w:val="bottom"/>
          </w:tcPr>
          <w:p>
            <w:pPr>
              <w:spacing w:after="0"/>
              <w:rPr>
                <w:sz w:val="19"/>
                <w:szCs w:val="19"/>
                <w:color w:val="auto"/>
              </w:rPr>
            </w:pPr>
          </w:p>
        </w:tc>
      </w:tr>
      <w:tr>
        <w:trPr>
          <w:trHeight w:val="146"/>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5"/>
        </w:trPr>
        <w:tc>
          <w:tcPr>
            <w:tcW w:w="8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620" w:type="dxa"/>
            <w:vAlign w:val="bottom"/>
            <w:gridSpan w:val="3"/>
          </w:tcPr>
          <w:p>
            <w:pPr>
              <w:ind w:left="26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40"/>
              <w:spacing w:after="0"/>
              <w:rPr>
                <w:sz w:val="20"/>
                <w:szCs w:val="20"/>
                <w:color w:val="auto"/>
              </w:rPr>
            </w:pPr>
            <w:r>
              <w:rPr>
                <w:rFonts w:ascii="Arial" w:cs="Arial" w:eastAsia="Arial" w:hAnsi="Arial"/>
                <w:sz w:val="13"/>
                <w:szCs w:val="13"/>
                <w:color w:val="auto"/>
              </w:rPr>
              <w:t>(Zip)</w:t>
            </w:r>
          </w:p>
        </w:tc>
      </w:tr>
    </w:tbl>
    <w:p>
      <w:pPr>
        <w:spacing w:after="0" w:line="12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jc w:val="both"/>
        <w:ind w:left="20"/>
        <w:spacing w:after="0" w:line="238" w:lineRule="auto"/>
        <w:tabs>
          <w:tab w:leader="none" w:pos="14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of Class A Common Stock, shares of Class B Common Stock, or LLC Units, as applicable, held (a) directly by the Mark &amp; Robyn Jones Descendants Trust 2014 and (b) indirectly by Mark Evan Jones and Robyn Mary Elizabeth Jones, who serve as trustees of the Mark &amp; Robyn Jones Descendants Trust 2014 and whose immediate family members are beneficiaries of the Mark &amp; Robyn Jones Descendants Trust 2014.</w:t>
      </w:r>
    </w:p>
    <w:p>
      <w:pPr>
        <w:spacing w:after="0" w:line="26" w:lineRule="exact"/>
        <w:rPr>
          <w:rFonts w:ascii="Times New Roman" w:cs="Times New Roman" w:eastAsia="Times New Roman" w:hAnsi="Times New Roman"/>
          <w:sz w:val="13"/>
          <w:szCs w:val="13"/>
          <w:color w:val="008000"/>
        </w:rPr>
      </w:pPr>
    </w:p>
    <w:p>
      <w:pPr>
        <w:jc w:val="both"/>
        <w:ind w:left="20" w:right="80"/>
        <w:spacing w:after="0" w:line="238" w:lineRule="auto"/>
        <w:tabs>
          <w:tab w:leader="none" w:pos="14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$40.00 to $40.97,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p>
      <w:pPr>
        <w:spacing w:after="0" w:line="26" w:lineRule="exact"/>
        <w:rPr>
          <w:rFonts w:ascii="Times New Roman" w:cs="Times New Roman" w:eastAsia="Times New Roman" w:hAnsi="Times New Roman"/>
          <w:sz w:val="13"/>
          <w:szCs w:val="13"/>
          <w:color w:val="008000"/>
        </w:rPr>
      </w:pPr>
    </w:p>
    <w:p>
      <w:pPr>
        <w:jc w:val="both"/>
        <w:ind w:left="20" w:right="80"/>
        <w:spacing w:after="0" w:line="238" w:lineRule="auto"/>
        <w:tabs>
          <w:tab w:leader="none" w:pos="14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$41.00 to $41.80,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p>
      <w:pPr>
        <w:spacing w:after="0" w:line="26" w:lineRule="exact"/>
        <w:rPr>
          <w:rFonts w:ascii="Times New Roman" w:cs="Times New Roman" w:eastAsia="Times New Roman" w:hAnsi="Times New Roman"/>
          <w:sz w:val="13"/>
          <w:szCs w:val="13"/>
          <w:color w:val="008000"/>
        </w:rPr>
      </w:pPr>
    </w:p>
    <w:p>
      <w:pPr>
        <w:ind w:left="20" w:right="220"/>
        <w:spacing w:after="0" w:line="250" w:lineRule="auto"/>
        <w:tabs>
          <w:tab w:leader="none" w:pos="14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of Class A Common Stock, shares of Class B Common Stock, or LLC Units, as applicable, held directly by Mark Evan Jones, and does not reflect shares of Class A Common Stock, shares of Class B Common Stock, or LLC Units, as applicable, held by his spouse, Robyn Mary Elizabeth Jones, who is independently a reporting person of the issuer.</w:t>
      </w:r>
    </w:p>
    <w:p>
      <w:pPr>
        <w:spacing w:after="0" w:line="19" w:lineRule="exact"/>
        <w:rPr>
          <w:rFonts w:ascii="Times New Roman" w:cs="Times New Roman" w:eastAsia="Times New Roman" w:hAnsi="Times New Roman"/>
          <w:sz w:val="13"/>
          <w:szCs w:val="13"/>
          <w:color w:val="008000"/>
        </w:rPr>
      </w:pPr>
    </w:p>
    <w:p>
      <w:pPr>
        <w:ind w:left="20" w:right="100"/>
        <w:spacing w:after="0" w:line="250" w:lineRule="auto"/>
        <w:tabs>
          <w:tab w:leader="none" w:pos="14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of Class A Common Stock, shares of Class B Common Stock, or LLC Units, as applicable, held directly by Robyn Mary Elizabeth Jones, and does not reflect shares of Class A Common Stock, shares of Class B Common Stock, or LLC Units, as applicable, held by her spouse, Mark Evan Jones, who is independently a reporting person of the issuer.</w:t>
      </w:r>
    </w:p>
    <w:p>
      <w:pPr>
        <w:spacing w:after="0" w:line="19" w:lineRule="exact"/>
        <w:rPr>
          <w:rFonts w:ascii="Times New Roman" w:cs="Times New Roman" w:eastAsia="Times New Roman" w:hAnsi="Times New Roman"/>
          <w:sz w:val="13"/>
          <w:szCs w:val="13"/>
          <w:color w:val="008000"/>
        </w:rPr>
      </w:pPr>
    </w:p>
    <w:p>
      <w:pPr>
        <w:ind w:left="20" w:right="40"/>
        <w:spacing w:after="0" w:line="250" w:lineRule="auto"/>
        <w:tabs>
          <w:tab w:leader="none" w:pos="14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of Class B Common Stock or LLC Units, as applicable, held indirectly by Mark Evan Jones and Robyn Mary Elizabeth Jones, who serve as trustees of various trusts and whose immediate family members are beneficiaries of such trusts.</w:t>
      </w:r>
    </w:p>
    <w:p>
      <w:pPr>
        <w:spacing w:after="0" w:line="19" w:lineRule="exact"/>
        <w:rPr>
          <w:rFonts w:ascii="Times New Roman" w:cs="Times New Roman" w:eastAsia="Times New Roman" w:hAnsi="Times New Roman"/>
          <w:sz w:val="13"/>
          <w:szCs w:val="13"/>
          <w:color w:val="008000"/>
        </w:rPr>
      </w:pPr>
    </w:p>
    <w:p>
      <w:pPr>
        <w:ind w:left="140" w:hanging="120"/>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LLC Unit, together with a share of Class B Common Stock, may be converted by the holder into one share of Class A Common Stock at any time. The LLC Units do not expire.</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0880"/>
          </w:cols>
          <w:pgMar w:left="480" w:top="114" w:right="539" w:bottom="1440" w:gutter="0" w:footer="0" w:header="0"/>
        </w:sectPr>
      </w:pPr>
    </w:p>
    <w:p>
      <w:pPr>
        <w:spacing w:after="0" w:line="12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Martin Thornthwaite,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-10160</wp:posOffset>
            </wp:positionV>
            <wp:extent cx="11442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114427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Attorney-in-Fact for Mark &amp;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-17780</wp:posOffset>
            </wp:positionV>
            <wp:extent cx="12172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Robyn Jones Descendants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-10795</wp:posOffset>
            </wp:positionV>
            <wp:extent cx="13423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-17780</wp:posOffset>
            </wp:positionV>
            <wp:extent cx="2101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210185" cy="8255"/>
                    </a:xfrm>
                    <a:prstGeom prst="rect">
                      <a:avLst/>
                    </a:prstGeom>
                    <a:noFill/>
                  </pic:spPr>
                </pic:pic>
              </a:graphicData>
            </a:graphic>
          </wp:anchor>
        </w:drawing>
      </w:r>
    </w:p>
    <w:p>
      <w:pPr>
        <w:spacing w:after="0" w:line="2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Martin Thornthwaite,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-10160</wp:posOffset>
            </wp:positionV>
            <wp:extent cx="11442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14427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Attorney-in-Fact for Mark Evan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-10795</wp:posOffset>
            </wp:positionV>
            <wp:extent cx="13512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3512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-17780</wp:posOffset>
            </wp:positionV>
            <wp:extent cx="2336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233680" cy="8255"/>
                    </a:xfrm>
                    <a:prstGeom prst="rect">
                      <a:avLst/>
                    </a:prstGeom>
                    <a:noFill/>
                  </pic:spPr>
                </pic:pic>
              </a:graphicData>
            </a:graphic>
          </wp:anchor>
        </w:drawing>
      </w:r>
    </w:p>
    <w:p>
      <w:pPr>
        <w:spacing w:after="0" w:line="2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Martin Thornthwaite,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-10160</wp:posOffset>
            </wp:positionV>
            <wp:extent cx="11442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14427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Attorney-in-Fact for Robyn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-17780</wp:posOffset>
            </wp:positionV>
            <wp:extent cx="116205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16205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Mary Elizabeth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-17780</wp:posOffset>
            </wp:positionV>
            <wp:extent cx="9105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9105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05/27/2026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4787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05/27/2026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4787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05/27/2026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4787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273" w:lineRule="exact"/>
        <w:rPr>
          <w:sz w:val="20"/>
          <w:szCs w:val="20"/>
          <w:color w:val="auto"/>
        </w:rPr>
      </w:pPr>
    </w:p>
    <w:p>
      <w:pPr>
        <w:sectPr>
          <w:pgSz w:w="11900" w:h="16838" w:orient="portrait"/>
          <w:cols w:equalWidth="0" w:num="2">
            <w:col w:w="8700" w:space="80"/>
            <w:col w:w="2100"/>
          </w:cols>
          <w:pgMar w:left="480" w:top="114" w:right="539" w:bottom="1440" w:gutter="0" w:footer="0" w:header="0"/>
          <w:type w:val="continuous"/>
        </w:sect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20" w:right="3520"/>
        <w:spacing w:after="0" w:line="332" w:lineRule="auto"/>
        <w:tabs>
          <w:tab w:leader="none" w:pos="15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80"/>
          </w:cols>
          <w:pgMar w:left="480" w:top="114" w:right="539" w:bottom="1440" w:gutter="0" w:footer="0" w:header="0"/>
          <w:type w:val="continuous"/>
        </w:sectPr>
      </w:pPr>
    </w:p>
    <w:bookmarkStart w:id="2" w:name="page3"/>
    <w:bookmarkEnd w:id="2"/>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15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Know all by these presents, that Mark E. Jones, in his capacity as attorney-in-fact of the Mark &amp; Robyn Jones Descendants Trust 2014 and all other persons, entities, and trusts subject to the Voting Agreement dated May 1, 2018 and the Second Voting Agreement dated February 24, 2021 (collectively, the “Holders”), hereby constitutes and appoints each of Martin Thornthwaite and Mark E. Jones, Jr. as the undersigned’s true and lawful attorneys-in-fact to:</w:t>
      </w:r>
    </w:p>
    <w:p>
      <w:pPr>
        <w:spacing w:after="0" w:line="179" w:lineRule="exact"/>
        <w:rPr>
          <w:sz w:val="20"/>
          <w:szCs w:val="20"/>
          <w:color w:val="auto"/>
        </w:rPr>
      </w:pPr>
    </w:p>
    <w:p>
      <w:pPr>
        <w:jc w:val="both"/>
        <w:ind w:firstLine="2"/>
        <w:spacing w:after="0" w:line="284" w:lineRule="auto"/>
        <w:tabs>
          <w:tab w:leader="none" w:pos="4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and execute for and on behalf of the undersigned Forms 3, 4 and 5, including any amendments thereto, with respect to the securities of Goosehead Insurance, Inc. (the “Company”) in accordance with Section 16(a) of the Securities Exchange Act of 1934 and the rules and regulations thereunder (the “Exchange Act”);</w:t>
      </w:r>
    </w:p>
    <w:p>
      <w:pPr>
        <w:spacing w:after="0" w:line="87" w:lineRule="exact"/>
        <w:rPr>
          <w:rFonts w:ascii="Times New Roman" w:cs="Times New Roman" w:eastAsia="Times New Roman" w:hAnsi="Times New Roman"/>
          <w:sz w:val="20"/>
          <w:szCs w:val="20"/>
          <w:color w:val="auto"/>
        </w:rPr>
      </w:pPr>
    </w:p>
    <w:p>
      <w:pPr>
        <w:jc w:val="both"/>
        <w:ind w:firstLine="2"/>
        <w:spacing w:after="0" w:line="284" w:lineRule="auto"/>
        <w:tabs>
          <w:tab w:leader="none" w:pos="526"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the applicable stock exchange or similar authority; and</w:t>
      </w:r>
    </w:p>
    <w:p>
      <w:pPr>
        <w:spacing w:after="0" w:line="74" w:lineRule="exact"/>
        <w:rPr>
          <w:rFonts w:ascii="Times New Roman" w:cs="Times New Roman" w:eastAsia="Times New Roman" w:hAnsi="Times New Roman"/>
          <w:sz w:val="20"/>
          <w:szCs w:val="20"/>
          <w:color w:val="auto"/>
        </w:rPr>
      </w:pPr>
    </w:p>
    <w:p>
      <w:pPr>
        <w:jc w:val="both"/>
        <w:ind w:firstLine="2"/>
        <w:spacing w:after="0" w:line="278" w:lineRule="auto"/>
        <w:tabs>
          <w:tab w:leader="none" w:pos="456"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his discretion.</w:t>
      </w:r>
    </w:p>
    <w:p>
      <w:pPr>
        <w:spacing w:after="0" w:line="9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0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to Follow</w:t>
      </w:r>
      <w:r>
        <w:rPr>
          <w:rFonts w:ascii="Times New Roman" w:cs="Times New Roman" w:eastAsia="Times New Roman" w:hAnsi="Times New Roman"/>
          <w:sz w:val="20"/>
          <w:szCs w:val="20"/>
          <w:color w:val="auto"/>
        </w:rPr>
        <w:t>]</w:t>
      </w:r>
    </w:p>
    <w:p>
      <w:pPr>
        <w:sectPr>
          <w:pgSz w:w="11900" w:h="16838" w:orient="portrait"/>
          <w:cols w:equalWidth="0" w:num="1">
            <w:col w:w="10980"/>
          </w:cols>
          <w:pgMar w:left="460" w:top="1440" w:right="459" w:bottom="1440" w:gutter="0" w:footer="0" w:header="0"/>
        </w:sectPr>
      </w:pPr>
    </w:p>
    <w:bookmarkStart w:id="3" w:name="page4"/>
    <w:bookmarkEnd w:id="3"/>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28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day of April, 2026.</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 /s/ Mark E. Jones</w:t>
      </w:r>
    </w:p>
    <w:p>
      <w:pPr>
        <w:spacing w:after="0" w:line="200" w:lineRule="exact"/>
        <w:rPr>
          <w:sz w:val="20"/>
          <w:szCs w:val="20"/>
          <w:color w:val="auto"/>
        </w:rPr>
      </w:pPr>
    </w:p>
    <w:p>
      <w:pPr>
        <w:spacing w:after="0" w:line="321" w:lineRule="exact"/>
        <w:rPr>
          <w:sz w:val="20"/>
          <w:szCs w:val="20"/>
          <w:color w:val="auto"/>
        </w:rPr>
      </w:pPr>
    </w:p>
    <w:p>
      <w:pPr>
        <w:spacing w:after="0"/>
        <w:tabs>
          <w:tab w:leader="none" w:pos="720" w:val="left"/>
          <w:tab w:leader="none" w:pos="2100" w:val="left"/>
        </w:tabs>
        <w:rPr>
          <w:sz w:val="20"/>
          <w:szCs w:val="20"/>
          <w:color w:val="auto"/>
        </w:rPr>
      </w:pPr>
      <w:r>
        <w:rPr>
          <w:rFonts w:ascii="Times New Roman" w:cs="Times New Roman" w:eastAsia="Times New Roman" w:hAnsi="Times New Roman"/>
          <w:sz w:val="20"/>
          <w:szCs w:val="20"/>
          <w:color w:val="auto"/>
        </w:rPr>
        <w:t>Name:</w:t>
        <w:tab/>
        <w:t>Mark E. Jones</w:t>
        <w:tab/>
        <w:t>as attorney-in-fact of the Mark &amp; Robyn Jones Descendants Trust 2014</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 /s/ Mark E. Jones</w:t>
      </w:r>
    </w:p>
    <w:p>
      <w:pPr>
        <w:spacing w:after="0" w:line="200" w:lineRule="exact"/>
        <w:rPr>
          <w:sz w:val="20"/>
          <w:szCs w:val="20"/>
          <w:color w:val="auto"/>
        </w:rPr>
      </w:pPr>
    </w:p>
    <w:p>
      <w:pPr>
        <w:spacing w:after="0" w:line="321" w:lineRule="exact"/>
        <w:rPr>
          <w:sz w:val="20"/>
          <w:szCs w:val="20"/>
          <w:color w:val="auto"/>
        </w:rPr>
      </w:pPr>
    </w:p>
    <w:p>
      <w:pPr>
        <w:spacing w:after="0"/>
        <w:tabs>
          <w:tab w:leader="none" w:pos="720" w:val="left"/>
          <w:tab w:leader="none" w:pos="2100" w:val="left"/>
        </w:tabs>
        <w:rPr>
          <w:sz w:val="20"/>
          <w:szCs w:val="20"/>
          <w:color w:val="auto"/>
        </w:rPr>
      </w:pPr>
      <w:r>
        <w:rPr>
          <w:rFonts w:ascii="Times New Roman" w:cs="Times New Roman" w:eastAsia="Times New Roman" w:hAnsi="Times New Roman"/>
          <w:sz w:val="20"/>
          <w:szCs w:val="20"/>
          <w:color w:val="auto"/>
        </w:rPr>
        <w:t>Name:</w:t>
        <w:tab/>
        <w:t>Mark E. Jones</w:t>
        <w:tab/>
        <w:t>as attorney-in-fact of the Holders</w:t>
      </w:r>
    </w:p>
    <w:p>
      <w:pPr>
        <w:sectPr>
          <w:pgSz w:w="11900" w:h="16838" w:orient="portrait"/>
          <w:cols w:equalWidth="0" w:num="1">
            <w:col w:w="10380"/>
          </w:cols>
          <w:pgMar w:left="460" w:top="1440" w:right="1059" w:bottom="1440" w:gutter="0" w:footer="0" w:header="0"/>
        </w:sectPr>
      </w:pPr>
    </w:p>
    <w:bookmarkStart w:id="4" w:name="page5"/>
    <w:bookmarkEnd w:id="4"/>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Martin Thornthwaite and Mark E. Jones, Jr.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the undersigned’s true and lawful attorneys-in-fact to:</w:t>
      </w:r>
    </w:p>
    <w:p>
      <w:pPr>
        <w:spacing w:after="0" w:line="230" w:lineRule="exact"/>
        <w:rPr>
          <w:sz w:val="20"/>
          <w:szCs w:val="20"/>
          <w:color w:val="auto"/>
        </w:rPr>
      </w:pPr>
    </w:p>
    <w:p>
      <w:pPr>
        <w:jc w:val="both"/>
        <w:ind w:firstLine="2"/>
        <w:spacing w:after="0" w:line="284" w:lineRule="auto"/>
        <w:tabs>
          <w:tab w:leader="none" w:pos="57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member of the Board of Directors of Goosehead Insurance, Inc. (the “Company”), Forms 3, 4 and 5, including any amendments thereto, in accordance with Section 16(a) of the Securities Exchange Act of 1934 and the rules and regulations thereunder (the “Exchange Act”);</w:t>
      </w:r>
    </w:p>
    <w:p>
      <w:pPr>
        <w:spacing w:after="0" w:line="74" w:lineRule="exact"/>
        <w:rPr>
          <w:rFonts w:ascii="Times New Roman" w:cs="Times New Roman" w:eastAsia="Times New Roman" w:hAnsi="Times New Roman"/>
          <w:sz w:val="20"/>
          <w:szCs w:val="20"/>
          <w:color w:val="auto"/>
        </w:rPr>
      </w:pPr>
    </w:p>
    <w:p>
      <w:pPr>
        <w:jc w:val="both"/>
        <w:ind w:firstLine="2"/>
        <w:spacing w:after="0" w:line="284" w:lineRule="auto"/>
        <w:tabs>
          <w:tab w:leader="none" w:pos="526"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the applicable stock exchange or similar authority; and</w:t>
      </w:r>
    </w:p>
    <w:p>
      <w:pPr>
        <w:spacing w:after="0" w:line="87" w:lineRule="exact"/>
        <w:rPr>
          <w:rFonts w:ascii="Times New Roman" w:cs="Times New Roman" w:eastAsia="Times New Roman" w:hAnsi="Times New Roman"/>
          <w:sz w:val="20"/>
          <w:szCs w:val="20"/>
          <w:color w:val="auto"/>
        </w:rPr>
      </w:pPr>
    </w:p>
    <w:p>
      <w:pPr>
        <w:jc w:val="both"/>
        <w:ind w:firstLine="2"/>
        <w:spacing w:after="0" w:line="278" w:lineRule="auto"/>
        <w:tabs>
          <w:tab w:leader="none" w:pos="456"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his discretion.</w:t>
      </w:r>
    </w:p>
    <w:p>
      <w:pPr>
        <w:spacing w:after="0" w:line="9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9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28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day of April, 2026.</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 /s/ Mark E. Jones</w:t>
      </w:r>
    </w:p>
    <w:p>
      <w:pPr>
        <w:spacing w:after="0" w:line="200" w:lineRule="exact"/>
        <w:rPr>
          <w:sz w:val="20"/>
          <w:szCs w:val="20"/>
          <w:color w:val="auto"/>
        </w:rPr>
      </w:pPr>
    </w:p>
    <w:p>
      <w:pPr>
        <w:spacing w:after="0" w:line="334"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Name:</w:t>
        <w:tab/>
        <w:t>Mark E. Jones</w:t>
      </w:r>
    </w:p>
    <w:p>
      <w:pPr>
        <w:sectPr>
          <w:pgSz w:w="11900" w:h="16838" w:orient="portrait"/>
          <w:cols w:equalWidth="0" w:num="1">
            <w:col w:w="10980"/>
          </w:cols>
          <w:pgMar w:left="460" w:top="1440" w:right="459" w:bottom="1440" w:gutter="0" w:footer="0" w:header="0"/>
        </w:sectPr>
      </w:pPr>
    </w:p>
    <w:bookmarkStart w:id="5" w:name="page6"/>
    <w:bookmarkEnd w:id="5"/>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Martin Thornthwaite and Mark E. Jones, Jr.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the undersigned’s true and lawful attorneys-in-fact to:</w:t>
      </w:r>
    </w:p>
    <w:p>
      <w:pPr>
        <w:spacing w:after="0" w:line="230" w:lineRule="exact"/>
        <w:rPr>
          <w:sz w:val="20"/>
          <w:szCs w:val="20"/>
          <w:color w:val="auto"/>
        </w:rPr>
      </w:pPr>
    </w:p>
    <w:p>
      <w:pPr>
        <w:jc w:val="both"/>
        <w:ind w:firstLine="2"/>
        <w:spacing w:after="0" w:line="284" w:lineRule="auto"/>
        <w:tabs>
          <w:tab w:leader="none" w:pos="573"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member of the Board of Directors of Goosehead Insurance, Inc. (the “Company”), Forms 3, 4 and 5, including any amendments thereto, in accordance with Section 16(a) of the Securities Exchange Act of 1934 and the rules and regulations thereunder (the “Exchange Act”);</w:t>
      </w:r>
    </w:p>
    <w:p>
      <w:pPr>
        <w:spacing w:after="0" w:line="74" w:lineRule="exact"/>
        <w:rPr>
          <w:rFonts w:ascii="Times New Roman" w:cs="Times New Roman" w:eastAsia="Times New Roman" w:hAnsi="Times New Roman"/>
          <w:sz w:val="20"/>
          <w:szCs w:val="20"/>
          <w:color w:val="auto"/>
        </w:rPr>
      </w:pPr>
    </w:p>
    <w:p>
      <w:pPr>
        <w:jc w:val="both"/>
        <w:ind w:firstLine="2"/>
        <w:spacing w:after="0" w:line="284" w:lineRule="auto"/>
        <w:tabs>
          <w:tab w:leader="none" w:pos="526"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the applicable stock exchange or similar authority; and</w:t>
      </w:r>
    </w:p>
    <w:p>
      <w:pPr>
        <w:spacing w:after="0" w:line="87" w:lineRule="exact"/>
        <w:rPr>
          <w:rFonts w:ascii="Times New Roman" w:cs="Times New Roman" w:eastAsia="Times New Roman" w:hAnsi="Times New Roman"/>
          <w:sz w:val="20"/>
          <w:szCs w:val="20"/>
          <w:color w:val="auto"/>
        </w:rPr>
      </w:pPr>
    </w:p>
    <w:p>
      <w:pPr>
        <w:jc w:val="both"/>
        <w:ind w:firstLine="2"/>
        <w:spacing w:after="0" w:line="278" w:lineRule="auto"/>
        <w:tabs>
          <w:tab w:leader="none" w:pos="456"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his discretion.</w:t>
      </w:r>
    </w:p>
    <w:p>
      <w:pPr>
        <w:spacing w:after="0" w:line="9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9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28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day of April, 2026.</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 /s/ Robyn Jones</w:t>
      </w:r>
    </w:p>
    <w:p>
      <w:pPr>
        <w:spacing w:after="0" w:line="200" w:lineRule="exact"/>
        <w:rPr>
          <w:sz w:val="20"/>
          <w:szCs w:val="20"/>
          <w:color w:val="auto"/>
        </w:rPr>
      </w:pPr>
    </w:p>
    <w:p>
      <w:pPr>
        <w:spacing w:after="0" w:line="334"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Name:</w:t>
        <w:tab/>
        <w:t>Robyn Jones</w:t>
      </w:r>
    </w:p>
    <w:sectPr>
      <w:pgSz w:w="11900" w:h="16838" w:orient="portrait"/>
      <w:cols w:equalWidth="0" w:num="1">
        <w:col w:w="10980"/>
      </w:cols>
      <w:pgMar w:left="460" w:top="144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13" Type="http://schemas.openxmlformats.org/officeDocument/2006/relationships/hyperlink" Target="http://www.sec.gov/cgi-bin/browse-edgar?action=getcompany&amp;CIK=0001736769" TargetMode="External"/><Relationship Id="rId14" Type="http://schemas.openxmlformats.org/officeDocument/2006/relationships/hyperlink" Target="http://www.sec.gov/cgi-bin/browse-edgar?action=getcompany&amp;CIK=0001726978" TargetMode="External"/><Relationship Id="rId16" Type="http://schemas.openxmlformats.org/officeDocument/2006/relationships/hyperlink" Target="http://www.sec.gov/cgi-bin/browse-edgar?action=getcompany&amp;CIK=0001736768" TargetMode="External"/><Relationship Id="rId17" Type="http://schemas.openxmlformats.org/officeDocument/2006/relationships/hyperlink" Target="http://www.sec.gov/cgi-bin/browse-edgar?action=getcompany&amp;CIK=00017375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2026-05-27T19:47:23Z</dcterms:created>
  <dcterms:modified xsi:type="dcterms:W3CDTF">2026-05-27T19:47:23Z</dcterms:modified>
</cp:coreProperties>
</file>