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0" w:lineRule="exact"/>
        <w:rPr>
          <w:sz w:val="24"/>
          <w:szCs w:val="24"/>
          <w:color w:val="auto"/>
        </w:rPr>
      </w:pPr>
    </w:p>
    <w:p>
      <w:pPr>
        <w:ind w:left="340" w:right="8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-227330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4" w:lineRule="exact"/>
        <w:rPr>
          <w:sz w:val="24"/>
          <w:szCs w:val="24"/>
          <w:color w:val="auto"/>
        </w:rPr>
      </w:pPr>
    </w:p>
    <w:p>
      <w:pPr>
        <w:ind w:left="340"/>
        <w:spacing w:after="0" w:line="24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-568325</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2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1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20" w:type="dxa"/>
            <w:vAlign w:val="bottom"/>
            <w:vMerge w:val="restart"/>
          </w:tcPr>
          <w:p>
            <w:pPr>
              <w:jc w:val="center"/>
              <w:ind w:right="21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5217795</wp:posOffset>
            </wp:positionH>
            <wp:positionV relativeFrom="paragraph">
              <wp:posOffset>-615315</wp:posOffset>
            </wp:positionV>
            <wp:extent cx="57785" cy="6286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865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-615315</wp:posOffset>
            </wp:positionV>
            <wp:extent cx="57785" cy="6286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865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728345</wp:posOffset>
            </wp:positionV>
            <wp:extent cx="7047865" cy="87122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865" cy="8712200"/>
                    </a:xfrm>
                    <a:prstGeom prst="rect">
                      <a:avLst/>
                    </a:prstGeom>
                    <a:noFill/>
                  </pic:spPr>
                </pic:pic>
              </a:graphicData>
            </a:graphic>
          </wp:anchor>
        </w:drawing>
      </w:r>
    </w:p>
    <w:p>
      <w:pPr>
        <w:spacing w:after="0" w:line="1199" w:lineRule="exact"/>
        <w:rPr>
          <w:sz w:val="24"/>
          <w:szCs w:val="24"/>
          <w:color w:val="auto"/>
        </w:rPr>
      </w:pPr>
    </w:p>
    <w:p>
      <w:pPr>
        <w:sectPr>
          <w:pgSz w:w="11900" w:h="16838" w:orient="portrait"/>
          <w:cols w:equalWidth="0" w:num="2">
            <w:col w:w="2280" w:space="360"/>
            <w:col w:w="8440"/>
          </w:cols>
          <w:pgMar w:left="460" w:top="216" w:right="359" w:bottom="0" w:gutter="0" w:footer="0" w:header="0"/>
        </w:sectPr>
      </w:pPr>
    </w:p>
    <w:p>
      <w:pPr>
        <w:spacing w:after="0" w:line="1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line="248" w:lineRule="auto"/>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Mark &amp; Robyn Jones Descendants Trust</w:t>
        </w:r>
      </w:hyperlink>
      <w:r>
        <w:rPr>
          <w:rFonts w:ascii="Times New Roman" w:cs="Times New Roman" w:eastAsia="Times New Roman" w:hAnsi="Times New Roman"/>
          <w:sz w:val="20"/>
          <w:szCs w:val="20"/>
          <w:u w:val="single" w:color="auto"/>
          <w:color w:val="0000EE"/>
        </w:rPr>
        <w:t xml:space="preserve"> </w:t>
      </w:r>
      <w:hyperlink r:id="rId13">
        <w:r>
          <w:rPr>
            <w:rFonts w:ascii="Times New Roman" w:cs="Times New Roman" w:eastAsia="Times New Roman" w:hAnsi="Times New Roman"/>
            <w:sz w:val="20"/>
            <w:szCs w:val="20"/>
            <w:u w:val="single" w:color="auto"/>
            <w:color w:val="0000EE"/>
          </w:rPr>
          <w:t>2014</w:t>
        </w:r>
      </w:hyperlink>
    </w:p>
    <w:p>
      <w:pPr>
        <w:spacing w:after="0" w:line="275"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6" w:lineRule="exact"/>
        <w:rPr>
          <w:sz w:val="20"/>
          <w:szCs w:val="20"/>
          <w:color w:val="auto"/>
        </w:rPr>
      </w:pPr>
    </w:p>
    <w:p>
      <w:pPr>
        <w:ind w:left="120" w:right="340"/>
        <w:spacing w:after="0" w:line="370" w:lineRule="auto"/>
        <w:rPr>
          <w:sz w:val="20"/>
          <w:szCs w:val="20"/>
          <w:color w:val="auto"/>
        </w:rPr>
      </w:pPr>
      <w:r>
        <w:rPr>
          <w:rFonts w:ascii="Times New Roman" w:cs="Times New Roman" w:eastAsia="Times New Roman" w:hAnsi="Times New Roman"/>
          <w:sz w:val="16"/>
          <w:szCs w:val="16"/>
          <w:color w:val="0000FF"/>
        </w:rPr>
        <w:t>C/O GOOSEHEAD INSURANCE, INC. 1500 SOLANA BLVD., BLDG 4, STE 4500</w:t>
      </w:r>
    </w:p>
    <w:p>
      <w:pPr>
        <w:spacing w:after="0" w:line="154"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8" w:lineRule="exact"/>
        <w:rPr>
          <w:sz w:val="20"/>
          <w:szCs w:val="20"/>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6"/>
          <w:szCs w:val="16"/>
          <w:color w:val="0000FF"/>
        </w:rPr>
        <w:t>WESTLAKE</w:t>
      </w:r>
      <w:r>
        <w:rPr>
          <w:sz w:val="20"/>
          <w:szCs w:val="20"/>
          <w:color w:val="auto"/>
        </w:rPr>
        <w:tab/>
      </w:r>
      <w:r>
        <w:rPr>
          <w:rFonts w:ascii="Times New Roman" w:cs="Times New Roman" w:eastAsia="Times New Roman" w:hAnsi="Times New Roman"/>
          <w:sz w:val="16"/>
          <w:szCs w:val="16"/>
          <w:color w:val="0000FF"/>
        </w:rPr>
        <w:t>TX</w:t>
      </w:r>
      <w:r>
        <w:rPr>
          <w:sz w:val="20"/>
          <w:szCs w:val="20"/>
          <w:color w:val="auto"/>
        </w:rPr>
        <w:tab/>
      </w:r>
      <w:r>
        <w:rPr>
          <w:rFonts w:ascii="Times New Roman" w:cs="Times New Roman" w:eastAsia="Times New Roman" w:hAnsi="Times New Roman"/>
          <w:sz w:val="16"/>
          <w:szCs w:val="16"/>
          <w:color w:val="0000FF"/>
        </w:rPr>
        <w:t>76262</w:t>
      </w:r>
    </w:p>
    <w:p>
      <w:pPr>
        <w:spacing w:after="0" w:line="323"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9"/>
        </w:trPr>
        <w:tc>
          <w:tcPr>
            <w:tcW w:w="60" w:type="dxa"/>
            <w:vAlign w:val="bottom"/>
          </w:tcPr>
          <w:p>
            <w:pPr>
              <w:spacing w:after="0"/>
              <w:rPr>
                <w:sz w:val="12"/>
                <w:szCs w:val="12"/>
                <w:color w:val="auto"/>
              </w:rPr>
            </w:pPr>
          </w:p>
        </w:tc>
        <w:tc>
          <w:tcPr>
            <w:tcW w:w="3760" w:type="dxa"/>
            <w:vAlign w:val="bottom"/>
            <w:gridSpan w:val="3"/>
          </w:tcPr>
          <w:p>
            <w:pPr>
              <w:spacing w:after="0" w:line="139"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Goosehead Insurance,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GSHD</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840" w:type="dxa"/>
            <w:vAlign w:val="bottom"/>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020" w:type="dxa"/>
            <w:vAlign w:val="bottom"/>
            <w:tcBorders>
              <w:bottom w:val="single" w:sz="8" w:color="0000EE"/>
            </w:tcBorders>
          </w:tcPr>
          <w:p>
            <w:pPr>
              <w:spacing w:after="0"/>
              <w:rPr>
                <w:sz w:val="3"/>
                <w:szCs w:val="3"/>
                <w:color w:val="auto"/>
              </w:rPr>
            </w:pPr>
          </w:p>
        </w:tc>
        <w:tc>
          <w:tcPr>
            <w:tcW w:w="1620" w:type="dxa"/>
            <w:vAlign w:val="bottom"/>
          </w:tcPr>
          <w:p>
            <w:pPr>
              <w:spacing w:after="0"/>
              <w:rPr>
                <w:sz w:val="3"/>
                <w:szCs w:val="3"/>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7"/>
        </w:trPr>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840" w:type="dxa"/>
            <w:vAlign w:val="bottom"/>
          </w:tcPr>
          <w:p>
            <w:pPr>
              <w:ind w:left="6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9"/>
        </w:trPr>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02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78"/>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180" w:type="dxa"/>
            <w:vAlign w:val="bottom"/>
            <w:gridSpan w:val="2"/>
            <w:vMerge w:val="continue"/>
          </w:tcPr>
          <w:p>
            <w:pPr>
              <w:spacing w:after="0"/>
              <w:rPr>
                <w:sz w:val="8"/>
                <w:szCs w:val="8"/>
                <w:color w:val="auto"/>
              </w:rPr>
            </w:pPr>
          </w:p>
        </w:tc>
        <w:tc>
          <w:tcPr>
            <w:tcW w:w="3640" w:type="dxa"/>
            <w:vAlign w:val="bottom"/>
            <w:gridSpan w:val="2"/>
            <w:vMerge w:val="continue"/>
          </w:tcPr>
          <w:p>
            <w:pPr>
              <w:spacing w:after="0"/>
              <w:rPr>
                <w:sz w:val="8"/>
                <w:szCs w:val="8"/>
                <w:color w:val="auto"/>
              </w:rPr>
            </w:pPr>
          </w:p>
        </w:tc>
        <w:tc>
          <w:tcPr>
            <w:tcW w:w="3300" w:type="dxa"/>
            <w:vAlign w:val="bottom"/>
            <w:gridSpan w:val="2"/>
            <w:vMerge w:val="restart"/>
          </w:tcPr>
          <w:p>
            <w:pPr>
              <w:ind w:left="680"/>
              <w:spacing w:after="0"/>
              <w:rPr>
                <w:sz w:val="20"/>
                <w:szCs w:val="20"/>
                <w:color w:val="auto"/>
              </w:rPr>
            </w:pPr>
            <w:r>
              <w:rPr>
                <w:rFonts w:ascii="Times New Roman" w:cs="Times New Roman" w:eastAsia="Times New Roman" w:hAnsi="Times New Roman"/>
                <w:sz w:val="16"/>
                <w:szCs w:val="16"/>
                <w:color w:val="0000FF"/>
              </w:rPr>
              <w:t>Member of 10% owner group</w:t>
            </w:r>
          </w:p>
        </w:tc>
        <w:tc>
          <w:tcPr>
            <w:tcW w:w="0" w:type="dxa"/>
            <w:vAlign w:val="bottom"/>
          </w:tcPr>
          <w:p>
            <w:pPr>
              <w:spacing w:after="0"/>
              <w:rPr>
                <w:sz w:val="1"/>
                <w:szCs w:val="1"/>
                <w:color w:val="auto"/>
              </w:rPr>
            </w:pPr>
          </w:p>
        </w:tc>
      </w:tr>
      <w:tr>
        <w:trPr>
          <w:trHeight w:val="139"/>
        </w:trPr>
        <w:tc>
          <w:tcPr>
            <w:tcW w:w="22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05/22/2026</w:t>
            </w:r>
          </w:p>
        </w:tc>
        <w:tc>
          <w:tcPr>
            <w:tcW w:w="1620" w:type="dxa"/>
            <w:vAlign w:val="bottom"/>
          </w:tcPr>
          <w:p>
            <w:pPr>
              <w:spacing w:after="0"/>
              <w:rPr>
                <w:sz w:val="12"/>
                <w:szCs w:val="12"/>
                <w:color w:val="auto"/>
              </w:rPr>
            </w:pPr>
          </w:p>
        </w:tc>
        <w:tc>
          <w:tcPr>
            <w:tcW w:w="33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2200" w:type="dxa"/>
            <w:vAlign w:val="bottom"/>
            <w:gridSpan w:val="3"/>
            <w:vMerge w:val="continue"/>
          </w:tcPr>
          <w:p>
            <w:pPr>
              <w:spacing w:after="0"/>
              <w:rPr>
                <w:sz w:val="6"/>
                <w:szCs w:val="6"/>
                <w:color w:val="auto"/>
              </w:rPr>
            </w:pPr>
          </w:p>
        </w:tc>
        <w:tc>
          <w:tcPr>
            <w:tcW w:w="162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1"/>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0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16"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40"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70" w:lineRule="exact"/>
        <w:rPr>
          <w:sz w:val="20"/>
          <w:szCs w:val="20"/>
          <w:color w:val="auto"/>
        </w:rPr>
      </w:pPr>
    </w:p>
    <w:p>
      <w:pPr>
        <w:sectPr>
          <w:pgSz w:w="11900" w:h="16838" w:orient="portrait"/>
          <w:cols w:equalWidth="0" w:num="2">
            <w:col w:w="3400" w:space="440"/>
            <w:col w:w="72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2"/>
          </w:tcPr>
          <w:p>
            <w:pPr>
              <w:ind w:left="760"/>
              <w:spacing w:after="0"/>
              <w:rPr>
                <w:sz w:val="20"/>
                <w:szCs w:val="20"/>
                <w:color w:val="auto"/>
              </w:rPr>
            </w:pPr>
            <w:r>
              <w:rPr>
                <w:rFonts w:ascii="Arial" w:cs="Arial" w:eastAsia="Arial" w:hAnsi="Arial"/>
                <w:sz w:val="11"/>
                <w:szCs w:val="11"/>
                <w:b w:val="1"/>
                <w:bCs w:val="1"/>
                <w:color w:val="auto"/>
              </w:rPr>
              <w:t>2. Transaction</w:t>
            </w:r>
          </w:p>
        </w:tc>
        <w:tc>
          <w:tcPr>
            <w:tcW w:w="90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200" w:type="dxa"/>
            <w:vAlign w:val="bottom"/>
          </w:tcPr>
          <w:p>
            <w:pPr>
              <w:spacing w:after="0"/>
              <w:rPr>
                <w:sz w:val="13"/>
                <w:szCs w:val="13"/>
                <w:color w:val="auto"/>
              </w:rPr>
            </w:pPr>
          </w:p>
        </w:tc>
        <w:tc>
          <w:tcPr>
            <w:tcW w:w="1920" w:type="dxa"/>
            <w:vAlign w:val="bottom"/>
            <w:gridSpan w:val="5"/>
          </w:tcPr>
          <w:p>
            <w:pPr>
              <w:jc w:val="center"/>
              <w:ind w:right="38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76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1"/>
                <w:szCs w:val="11"/>
                <w:color w:val="auto"/>
              </w:rPr>
            </w:pPr>
          </w:p>
        </w:tc>
        <w:tc>
          <w:tcPr>
            <w:tcW w:w="900" w:type="dxa"/>
            <w:vAlign w:val="bottom"/>
          </w:tcPr>
          <w:p>
            <w:pPr>
              <w:ind w:left="2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1"/>
                <w:szCs w:val="11"/>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5"/>
          </w:tcPr>
          <w:p>
            <w:pPr>
              <w:spacing w:after="0"/>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1"/>
                <w:szCs w:val="11"/>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0" w:type="dxa"/>
            <w:vAlign w:val="bottom"/>
            <w:gridSpan w:val="2"/>
          </w:tcPr>
          <w:p>
            <w:pPr>
              <w:ind w:left="760"/>
              <w:spacing w:after="0"/>
              <w:rPr>
                <w:sz w:val="20"/>
                <w:szCs w:val="20"/>
                <w:color w:val="auto"/>
              </w:rPr>
            </w:pPr>
            <w:r>
              <w:rPr>
                <w:rFonts w:ascii="Arial" w:cs="Arial" w:eastAsia="Arial" w:hAnsi="Arial"/>
                <w:sz w:val="11"/>
                <w:szCs w:val="11"/>
                <w:b w:val="1"/>
                <w:bCs w:val="1"/>
                <w:color w:val="auto"/>
              </w:rPr>
              <w:t>(Month/Day/Year)</w:t>
            </w:r>
          </w:p>
        </w:tc>
        <w:tc>
          <w:tcPr>
            <w:tcW w:w="90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120" w:type="dxa"/>
            <w:vAlign w:val="bottom"/>
          </w:tcPr>
          <w:p>
            <w:pPr>
              <w:spacing w:after="0"/>
              <w:rPr>
                <w:sz w:val="11"/>
                <w:szCs w:val="11"/>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  8)</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200" w:type="dxa"/>
            <w:vAlign w:val="bottom"/>
          </w:tcPr>
          <w:p>
            <w:pPr>
              <w:spacing w:after="0"/>
              <w:rPr>
                <w:sz w:val="11"/>
                <w:szCs w:val="11"/>
                <w:color w:val="auto"/>
              </w:rPr>
            </w:pPr>
          </w:p>
        </w:tc>
        <w:tc>
          <w:tcPr>
            <w:tcW w:w="54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1"/>
                <w:szCs w:val="11"/>
                <w:color w:val="auto"/>
              </w:rPr>
            </w:pPr>
          </w:p>
        </w:tc>
        <w:tc>
          <w:tcPr>
            <w:tcW w:w="560" w:type="dxa"/>
            <w:vAlign w:val="bottom"/>
          </w:tcPr>
          <w:p>
            <w:pPr>
              <w:ind w:left="240"/>
              <w:spacing w:after="0"/>
              <w:rPr>
                <w:sz w:val="20"/>
                <w:szCs w:val="20"/>
                <w:color w:val="auto"/>
              </w:rPr>
            </w:pPr>
            <w:r>
              <w:rPr>
                <w:rFonts w:ascii="Arial" w:cs="Arial" w:eastAsia="Arial" w:hAnsi="Arial"/>
                <w:sz w:val="11"/>
                <w:szCs w:val="11"/>
                <w:b w:val="1"/>
                <w:bCs w:val="1"/>
                <w:color w:val="auto"/>
              </w:rPr>
              <w:t>(A) or</w:t>
            </w:r>
          </w:p>
        </w:tc>
        <w:tc>
          <w:tcPr>
            <w:tcW w:w="78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vMerge w:val="restart"/>
          </w:tcPr>
          <w:p>
            <w:pPr>
              <w:ind w:left="24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0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B Common Stock</w:t>
            </w:r>
          </w:p>
        </w:tc>
        <w:tc>
          <w:tcPr>
            <w:tcW w:w="1800" w:type="dxa"/>
            <w:vAlign w:val="bottom"/>
            <w:tcBorders>
              <w:bottom w:val="single" w:sz="8" w:color="2C2C2C"/>
            </w:tcBorders>
            <w:gridSpan w:val="2"/>
          </w:tcPr>
          <w:p>
            <w:pPr>
              <w:ind w:left="860"/>
              <w:spacing w:after="0"/>
              <w:rPr>
                <w:sz w:val="20"/>
                <w:szCs w:val="20"/>
                <w:color w:val="auto"/>
              </w:rPr>
            </w:pPr>
            <w:r>
              <w:rPr>
                <w:rFonts w:ascii="Times New Roman" w:cs="Times New Roman" w:eastAsia="Times New Roman" w:hAnsi="Times New Roman"/>
                <w:sz w:val="16"/>
                <w:szCs w:val="16"/>
                <w:color w:val="0000FF"/>
              </w:rPr>
              <w:t>05/22/2026</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19"/>
              <w:spacing w:after="0"/>
              <w:rPr>
                <w:sz w:val="20"/>
                <w:szCs w:val="20"/>
                <w:color w:val="auto"/>
              </w:rPr>
            </w:pPr>
            <w:r>
              <w:rPr>
                <w:rFonts w:ascii="Times New Roman" w:cs="Times New Roman" w:eastAsia="Times New Roman" w:hAnsi="Times New Roman"/>
                <w:sz w:val="13"/>
                <w:szCs w:val="13"/>
                <w:color w:val="0000FF"/>
                <w:w w:val="91"/>
              </w:rPr>
              <w:t>C</w:t>
            </w:r>
          </w:p>
        </w:tc>
        <w:tc>
          <w:tcPr>
            <w:tcW w:w="2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gridSpan w:val="2"/>
          </w:tcPr>
          <w:p>
            <w:pPr>
              <w:jc w:val="center"/>
              <w:ind w:left="55"/>
              <w:spacing w:after="0"/>
              <w:rPr>
                <w:sz w:val="20"/>
                <w:szCs w:val="20"/>
                <w:color w:val="auto"/>
              </w:rPr>
            </w:pPr>
            <w:r>
              <w:rPr>
                <w:rFonts w:ascii="Times New Roman" w:cs="Times New Roman" w:eastAsia="Times New Roman" w:hAnsi="Times New Roman"/>
                <w:sz w:val="16"/>
                <w:szCs w:val="16"/>
                <w:color w:val="0000FF"/>
              </w:rPr>
              <w:t>82,689</w:t>
            </w:r>
          </w:p>
        </w:tc>
        <w:tc>
          <w:tcPr>
            <w:tcW w:w="56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Borders>
              <w:bottom w:val="single" w:sz="8" w:color="2C2C2C"/>
            </w:tcBorders>
          </w:tcPr>
          <w:p>
            <w:pPr>
              <w:jc w:val="center"/>
              <w:ind w:left="146"/>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7,050,356</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right"/>
              <w:ind w:right="344"/>
              <w:spacing w:after="0" w:line="304" w:lineRule="exact"/>
              <w:rPr>
                <w:sz w:val="20"/>
                <w:szCs w:val="20"/>
                <w:color w:val="auto"/>
              </w:rPr>
            </w:pPr>
            <w:r>
              <w:rPr>
                <w:rFonts w:ascii="Times New Roman" w:cs="Times New Roman" w:eastAsia="Times New Roman" w:hAnsi="Times New Roman"/>
                <w:sz w:val="32"/>
                <w:szCs w:val="32"/>
                <w:color w:val="0000FF"/>
                <w:w w:val="91"/>
                <w:vertAlign w:val="subscript"/>
              </w:rPr>
              <w:t>D</w:t>
            </w:r>
            <w:r>
              <w:rPr>
                <w:rFonts w:ascii="Times New Roman" w:cs="Times New Roman" w:eastAsia="Times New Roman" w:hAnsi="Times New Roman"/>
                <w:sz w:val="11"/>
                <w:szCs w:val="11"/>
                <w:color w:val="008000"/>
                <w:w w:val="91"/>
              </w:rPr>
              <w:t>(1)</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00" w:type="dxa"/>
            <w:vAlign w:val="bottom"/>
            <w:tcBorders>
              <w:bottom w:val="single" w:sz="8" w:color="2C2C2C"/>
            </w:tcBorders>
            <w:gridSpan w:val="2"/>
          </w:tcPr>
          <w:p>
            <w:pPr>
              <w:ind w:left="860"/>
              <w:spacing w:after="0"/>
              <w:rPr>
                <w:sz w:val="20"/>
                <w:szCs w:val="20"/>
                <w:color w:val="auto"/>
              </w:rPr>
            </w:pPr>
            <w:r>
              <w:rPr>
                <w:rFonts w:ascii="Times New Roman" w:cs="Times New Roman" w:eastAsia="Times New Roman" w:hAnsi="Times New Roman"/>
                <w:sz w:val="16"/>
                <w:szCs w:val="16"/>
                <w:color w:val="0000FF"/>
              </w:rPr>
              <w:t>05/22/2026</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19"/>
              <w:spacing w:after="0"/>
              <w:rPr>
                <w:sz w:val="20"/>
                <w:szCs w:val="20"/>
                <w:color w:val="auto"/>
              </w:rPr>
            </w:pPr>
            <w:r>
              <w:rPr>
                <w:rFonts w:ascii="Times New Roman" w:cs="Times New Roman" w:eastAsia="Times New Roman" w:hAnsi="Times New Roman"/>
                <w:sz w:val="13"/>
                <w:szCs w:val="13"/>
                <w:color w:val="0000FF"/>
                <w:w w:val="91"/>
              </w:rPr>
              <w:t>C</w:t>
            </w:r>
          </w:p>
        </w:tc>
        <w:tc>
          <w:tcPr>
            <w:tcW w:w="2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gridSpan w:val="2"/>
          </w:tcPr>
          <w:p>
            <w:pPr>
              <w:jc w:val="center"/>
              <w:ind w:left="55"/>
              <w:spacing w:after="0"/>
              <w:rPr>
                <w:sz w:val="20"/>
                <w:szCs w:val="20"/>
                <w:color w:val="auto"/>
              </w:rPr>
            </w:pPr>
            <w:r>
              <w:rPr>
                <w:rFonts w:ascii="Times New Roman" w:cs="Times New Roman" w:eastAsia="Times New Roman" w:hAnsi="Times New Roman"/>
                <w:sz w:val="16"/>
                <w:szCs w:val="16"/>
                <w:color w:val="0000FF"/>
              </w:rPr>
              <w:t>82,689</w:t>
            </w:r>
          </w:p>
        </w:tc>
        <w:tc>
          <w:tcPr>
            <w:tcW w:w="56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tcBorders>
              <w:bottom w:val="single" w:sz="8" w:color="2C2C2C"/>
            </w:tcBorders>
          </w:tcPr>
          <w:p>
            <w:pPr>
              <w:jc w:val="center"/>
              <w:ind w:left="146"/>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82,689</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right"/>
              <w:ind w:right="344"/>
              <w:spacing w:after="0" w:line="304" w:lineRule="exact"/>
              <w:rPr>
                <w:sz w:val="20"/>
                <w:szCs w:val="20"/>
                <w:color w:val="auto"/>
              </w:rPr>
            </w:pPr>
            <w:r>
              <w:rPr>
                <w:rFonts w:ascii="Times New Roman" w:cs="Times New Roman" w:eastAsia="Times New Roman" w:hAnsi="Times New Roman"/>
                <w:sz w:val="32"/>
                <w:szCs w:val="32"/>
                <w:color w:val="0000FF"/>
                <w:w w:val="91"/>
                <w:vertAlign w:val="subscript"/>
              </w:rPr>
              <w:t>D</w:t>
            </w:r>
            <w:r>
              <w:rPr>
                <w:rFonts w:ascii="Times New Roman" w:cs="Times New Roman" w:eastAsia="Times New Roman" w:hAnsi="Times New Roman"/>
                <w:sz w:val="11"/>
                <w:szCs w:val="11"/>
                <w:color w:val="008000"/>
                <w:w w:val="91"/>
              </w:rPr>
              <w:t>(1)</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00" w:type="dxa"/>
            <w:vAlign w:val="bottom"/>
            <w:tcBorders>
              <w:bottom w:val="single" w:sz="8" w:color="2C2C2C"/>
            </w:tcBorders>
            <w:gridSpan w:val="2"/>
          </w:tcPr>
          <w:p>
            <w:pPr>
              <w:ind w:left="860"/>
              <w:spacing w:after="0"/>
              <w:rPr>
                <w:sz w:val="20"/>
                <w:szCs w:val="20"/>
                <w:color w:val="auto"/>
              </w:rPr>
            </w:pPr>
            <w:r>
              <w:rPr>
                <w:rFonts w:ascii="Times New Roman" w:cs="Times New Roman" w:eastAsia="Times New Roman" w:hAnsi="Times New Roman"/>
                <w:sz w:val="16"/>
                <w:szCs w:val="16"/>
                <w:color w:val="0000FF"/>
              </w:rPr>
              <w:t>05/22/2026</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19"/>
              <w:spacing w:after="0"/>
              <w:rPr>
                <w:sz w:val="20"/>
                <w:szCs w:val="20"/>
                <w:color w:val="auto"/>
              </w:rPr>
            </w:pPr>
            <w:r>
              <w:rPr>
                <w:rFonts w:ascii="Times New Roman" w:cs="Times New Roman" w:eastAsia="Times New Roman" w:hAnsi="Times New Roman"/>
                <w:sz w:val="13"/>
                <w:szCs w:val="13"/>
                <w:color w:val="0000FF"/>
              </w:rPr>
              <w:t>S</w:t>
            </w:r>
          </w:p>
        </w:tc>
        <w:tc>
          <w:tcPr>
            <w:tcW w:w="2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gridSpan w:val="2"/>
          </w:tcPr>
          <w:p>
            <w:pPr>
              <w:jc w:val="center"/>
              <w:ind w:left="55"/>
              <w:spacing w:after="0"/>
              <w:rPr>
                <w:sz w:val="20"/>
                <w:szCs w:val="20"/>
                <w:color w:val="auto"/>
              </w:rPr>
            </w:pPr>
            <w:r>
              <w:rPr>
                <w:rFonts w:ascii="Times New Roman" w:cs="Times New Roman" w:eastAsia="Times New Roman" w:hAnsi="Times New Roman"/>
                <w:sz w:val="16"/>
                <w:szCs w:val="16"/>
                <w:color w:val="0000FF"/>
              </w:rPr>
              <w:t>79,339</w:t>
            </w:r>
          </w:p>
        </w:tc>
        <w:tc>
          <w:tcPr>
            <w:tcW w:w="56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6"/>
                <w:szCs w:val="16"/>
                <w:color w:val="0000FF"/>
              </w:rPr>
              <w:t>D</w:t>
            </w:r>
          </w:p>
        </w:tc>
        <w:tc>
          <w:tcPr>
            <w:tcW w:w="780" w:type="dxa"/>
            <w:vAlign w:val="bottom"/>
            <w:tcBorders>
              <w:bottom w:val="single" w:sz="8" w:color="2C2C2C"/>
            </w:tcBorders>
            <w:gridSpan w:val="2"/>
          </w:tcPr>
          <w:p>
            <w:pPr>
              <w:jc w:val="center"/>
              <w:ind w:left="86"/>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41.74</w:t>
            </w:r>
            <w:r>
              <w:rPr>
                <w:rFonts w:ascii="Times New Roman" w:cs="Times New Roman" w:eastAsia="Times New Roman" w:hAnsi="Times New Roman"/>
                <w:sz w:val="21"/>
                <w:szCs w:val="21"/>
                <w:color w:val="008000"/>
                <w:w w:val="94"/>
                <w:vertAlign w:val="superscript"/>
              </w:rPr>
              <w:t>(2)</w:t>
            </w: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3,350</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right"/>
              <w:ind w:right="344"/>
              <w:spacing w:after="0" w:line="304" w:lineRule="exact"/>
              <w:rPr>
                <w:sz w:val="20"/>
                <w:szCs w:val="20"/>
                <w:color w:val="auto"/>
              </w:rPr>
            </w:pPr>
            <w:r>
              <w:rPr>
                <w:rFonts w:ascii="Times New Roman" w:cs="Times New Roman" w:eastAsia="Times New Roman" w:hAnsi="Times New Roman"/>
                <w:sz w:val="32"/>
                <w:szCs w:val="32"/>
                <w:color w:val="0000FF"/>
                <w:w w:val="91"/>
                <w:vertAlign w:val="subscript"/>
              </w:rPr>
              <w:t>D</w:t>
            </w:r>
            <w:r>
              <w:rPr>
                <w:rFonts w:ascii="Times New Roman" w:cs="Times New Roman" w:eastAsia="Times New Roman" w:hAnsi="Times New Roman"/>
                <w:sz w:val="11"/>
                <w:szCs w:val="11"/>
                <w:color w:val="008000"/>
                <w:w w:val="91"/>
              </w:rPr>
              <w:t>(1)</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00" w:type="dxa"/>
            <w:vAlign w:val="bottom"/>
            <w:tcBorders>
              <w:bottom w:val="single" w:sz="8" w:color="2C2C2C"/>
            </w:tcBorders>
            <w:gridSpan w:val="2"/>
          </w:tcPr>
          <w:p>
            <w:pPr>
              <w:ind w:left="860"/>
              <w:spacing w:after="0"/>
              <w:rPr>
                <w:sz w:val="20"/>
                <w:szCs w:val="20"/>
                <w:color w:val="auto"/>
              </w:rPr>
            </w:pPr>
            <w:r>
              <w:rPr>
                <w:rFonts w:ascii="Times New Roman" w:cs="Times New Roman" w:eastAsia="Times New Roman" w:hAnsi="Times New Roman"/>
                <w:sz w:val="16"/>
                <w:szCs w:val="16"/>
                <w:color w:val="0000FF"/>
              </w:rPr>
              <w:t>05/22/2026</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19"/>
              <w:spacing w:after="0"/>
              <w:rPr>
                <w:sz w:val="20"/>
                <w:szCs w:val="20"/>
                <w:color w:val="auto"/>
              </w:rPr>
            </w:pPr>
            <w:r>
              <w:rPr>
                <w:rFonts w:ascii="Times New Roman" w:cs="Times New Roman" w:eastAsia="Times New Roman" w:hAnsi="Times New Roman"/>
                <w:sz w:val="13"/>
                <w:szCs w:val="13"/>
                <w:color w:val="0000FF"/>
              </w:rPr>
              <w:t>S</w:t>
            </w: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left="95"/>
              <w:spacing w:after="0"/>
              <w:rPr>
                <w:sz w:val="20"/>
                <w:szCs w:val="20"/>
                <w:color w:val="auto"/>
              </w:rPr>
            </w:pPr>
            <w:r>
              <w:rPr>
                <w:rFonts w:ascii="Times New Roman" w:cs="Times New Roman" w:eastAsia="Times New Roman" w:hAnsi="Times New Roman"/>
                <w:sz w:val="16"/>
                <w:szCs w:val="16"/>
                <w:color w:val="0000FF"/>
              </w:rPr>
              <w:t>3,350</w:t>
            </w:r>
          </w:p>
        </w:tc>
        <w:tc>
          <w:tcPr>
            <w:tcW w:w="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6"/>
                <w:szCs w:val="16"/>
                <w:color w:val="0000FF"/>
              </w:rPr>
              <w:t>D</w:t>
            </w:r>
          </w:p>
        </w:tc>
        <w:tc>
          <w:tcPr>
            <w:tcW w:w="780" w:type="dxa"/>
            <w:vAlign w:val="bottom"/>
            <w:tcBorders>
              <w:bottom w:val="single" w:sz="8" w:color="2C2C2C"/>
            </w:tcBorders>
            <w:gridSpan w:val="2"/>
          </w:tcPr>
          <w:p>
            <w:pPr>
              <w:jc w:val="center"/>
              <w:ind w:left="86"/>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42.43</w:t>
            </w:r>
            <w:r>
              <w:rPr>
                <w:rFonts w:ascii="Times New Roman" w:cs="Times New Roman" w:eastAsia="Times New Roman" w:hAnsi="Times New Roman"/>
                <w:sz w:val="21"/>
                <w:szCs w:val="21"/>
                <w:color w:val="008000"/>
                <w:w w:val="94"/>
                <w:vertAlign w:val="superscript"/>
              </w:rPr>
              <w:t>(3)</w:t>
            </w:r>
          </w:p>
        </w:tc>
        <w:tc>
          <w:tcPr>
            <w:tcW w:w="680" w:type="dxa"/>
            <w:vAlign w:val="bottom"/>
            <w:tcBorders>
              <w:bottom w:val="single" w:sz="8" w:color="2C2C2C"/>
            </w:tcBorders>
            <w:gridSpan w:val="2"/>
          </w:tcPr>
          <w:p>
            <w:pPr>
              <w:jc w:val="center"/>
              <w:ind w:left="487"/>
              <w:spacing w:after="0"/>
              <w:rPr>
                <w:sz w:val="20"/>
                <w:szCs w:val="20"/>
                <w:color w:val="auto"/>
              </w:rPr>
            </w:pPr>
            <w:r>
              <w:rPr>
                <w:rFonts w:ascii="Times New Roman" w:cs="Times New Roman" w:eastAsia="Times New Roman" w:hAnsi="Times New Roman"/>
                <w:sz w:val="16"/>
                <w:szCs w:val="16"/>
                <w:color w:val="0000FF"/>
                <w:w w:val="99"/>
              </w:rPr>
              <w:t>0</w:t>
            </w:r>
          </w:p>
        </w:tc>
        <w:tc>
          <w:tcPr>
            <w:tcW w:w="5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right"/>
              <w:ind w:right="344"/>
              <w:spacing w:after="0" w:line="304" w:lineRule="exact"/>
              <w:rPr>
                <w:sz w:val="20"/>
                <w:szCs w:val="20"/>
                <w:color w:val="auto"/>
              </w:rPr>
            </w:pPr>
            <w:r>
              <w:rPr>
                <w:rFonts w:ascii="Times New Roman" w:cs="Times New Roman" w:eastAsia="Times New Roman" w:hAnsi="Times New Roman"/>
                <w:sz w:val="32"/>
                <w:szCs w:val="32"/>
                <w:color w:val="0000FF"/>
                <w:w w:val="91"/>
                <w:vertAlign w:val="subscript"/>
              </w:rPr>
              <w:t>D</w:t>
            </w:r>
            <w:r>
              <w:rPr>
                <w:rFonts w:ascii="Times New Roman" w:cs="Times New Roman" w:eastAsia="Times New Roman" w:hAnsi="Times New Roman"/>
                <w:sz w:val="11"/>
                <w:szCs w:val="11"/>
                <w:color w:val="008000"/>
                <w:w w:val="91"/>
              </w:rPr>
              <w:t>(1)</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0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38,851</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right"/>
              <w:ind w:right="344"/>
              <w:spacing w:after="0" w:line="304" w:lineRule="exact"/>
              <w:rPr>
                <w:sz w:val="20"/>
                <w:szCs w:val="20"/>
                <w:color w:val="auto"/>
              </w:rPr>
            </w:pPr>
            <w:r>
              <w:rPr>
                <w:rFonts w:ascii="Times New Roman" w:cs="Times New Roman" w:eastAsia="Times New Roman" w:hAnsi="Times New Roman"/>
                <w:sz w:val="32"/>
                <w:szCs w:val="32"/>
                <w:color w:val="0000FF"/>
                <w:w w:val="91"/>
                <w:vertAlign w:val="subscript"/>
              </w:rPr>
              <w:t>D</w:t>
            </w:r>
            <w:r>
              <w:rPr>
                <w:rFonts w:ascii="Times New Roman" w:cs="Times New Roman" w:eastAsia="Times New Roman" w:hAnsi="Times New Roman"/>
                <w:sz w:val="11"/>
                <w:szCs w:val="11"/>
                <w:color w:val="008000"/>
                <w:w w:val="91"/>
              </w:rPr>
              <w:t>(4)</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B Common Stock</w:t>
            </w:r>
          </w:p>
        </w:tc>
        <w:tc>
          <w:tcPr>
            <w:tcW w:w="10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182,349</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right"/>
              <w:ind w:right="344"/>
              <w:spacing w:after="0" w:line="304" w:lineRule="exact"/>
              <w:rPr>
                <w:sz w:val="20"/>
                <w:szCs w:val="20"/>
                <w:color w:val="auto"/>
              </w:rPr>
            </w:pPr>
            <w:r>
              <w:rPr>
                <w:rFonts w:ascii="Times New Roman" w:cs="Times New Roman" w:eastAsia="Times New Roman" w:hAnsi="Times New Roman"/>
                <w:sz w:val="32"/>
                <w:szCs w:val="32"/>
                <w:color w:val="0000FF"/>
                <w:w w:val="91"/>
                <w:vertAlign w:val="subscript"/>
              </w:rPr>
              <w:t>D</w:t>
            </w:r>
            <w:r>
              <w:rPr>
                <w:rFonts w:ascii="Times New Roman" w:cs="Times New Roman" w:eastAsia="Times New Roman" w:hAnsi="Times New Roman"/>
                <w:sz w:val="11"/>
                <w:szCs w:val="11"/>
                <w:color w:val="008000"/>
                <w:w w:val="91"/>
              </w:rPr>
              <w:t>(4)</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0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71,565</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right"/>
              <w:ind w:right="344"/>
              <w:spacing w:after="0" w:line="304" w:lineRule="exact"/>
              <w:rPr>
                <w:sz w:val="20"/>
                <w:szCs w:val="20"/>
                <w:color w:val="auto"/>
              </w:rPr>
            </w:pPr>
            <w:r>
              <w:rPr>
                <w:rFonts w:ascii="Times New Roman" w:cs="Times New Roman" w:eastAsia="Times New Roman" w:hAnsi="Times New Roman"/>
                <w:sz w:val="32"/>
                <w:szCs w:val="32"/>
                <w:color w:val="0000FF"/>
                <w:w w:val="91"/>
                <w:vertAlign w:val="subscript"/>
              </w:rPr>
              <w:t>D</w:t>
            </w:r>
            <w:r>
              <w:rPr>
                <w:rFonts w:ascii="Times New Roman" w:cs="Times New Roman" w:eastAsia="Times New Roman" w:hAnsi="Times New Roman"/>
                <w:sz w:val="11"/>
                <w:szCs w:val="11"/>
                <w:color w:val="008000"/>
                <w:w w:val="91"/>
              </w:rPr>
              <w:t>(5)</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B Common Stock</w:t>
            </w:r>
          </w:p>
        </w:tc>
        <w:tc>
          <w:tcPr>
            <w:tcW w:w="10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132,349</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right"/>
              <w:ind w:right="344"/>
              <w:spacing w:after="0" w:line="304" w:lineRule="exact"/>
              <w:rPr>
                <w:sz w:val="20"/>
                <w:szCs w:val="20"/>
                <w:color w:val="auto"/>
              </w:rPr>
            </w:pPr>
            <w:r>
              <w:rPr>
                <w:rFonts w:ascii="Times New Roman" w:cs="Times New Roman" w:eastAsia="Times New Roman" w:hAnsi="Times New Roman"/>
                <w:sz w:val="32"/>
                <w:szCs w:val="32"/>
                <w:color w:val="0000FF"/>
                <w:w w:val="91"/>
                <w:vertAlign w:val="subscript"/>
              </w:rPr>
              <w:t>D</w:t>
            </w:r>
            <w:r>
              <w:rPr>
                <w:rFonts w:ascii="Times New Roman" w:cs="Times New Roman" w:eastAsia="Times New Roman" w:hAnsi="Times New Roman"/>
                <w:sz w:val="11"/>
                <w:szCs w:val="11"/>
                <w:color w:val="008000"/>
                <w:w w:val="91"/>
              </w:rPr>
              <w:t>(5)</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B Common Stock</w:t>
            </w:r>
          </w:p>
        </w:tc>
        <w:tc>
          <w:tcPr>
            <w:tcW w:w="10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1,766,355</w:t>
            </w:r>
          </w:p>
        </w:tc>
        <w:tc>
          <w:tcPr>
            <w:tcW w:w="260" w:type="dxa"/>
            <w:vAlign w:val="bottom"/>
          </w:tcPr>
          <w:p>
            <w:pPr>
              <w:spacing w:after="0"/>
              <w:rPr>
                <w:sz w:val="20"/>
                <w:szCs w:val="20"/>
                <w:color w:val="auto"/>
              </w:rPr>
            </w:pPr>
          </w:p>
        </w:tc>
        <w:tc>
          <w:tcPr>
            <w:tcW w:w="68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By</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0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Trust</w:t>
            </w:r>
            <w:r>
              <w:rPr>
                <w:rFonts w:ascii="Times New Roman" w:cs="Times New Roman" w:eastAsia="Times New Roman" w:hAnsi="Times New Roman"/>
                <w:sz w:val="21"/>
                <w:szCs w:val="21"/>
                <w:color w:val="008000"/>
                <w:vertAlign w:val="superscript"/>
              </w:rPr>
              <w:t>(6)</w:t>
            </w:r>
          </w:p>
        </w:tc>
        <w:tc>
          <w:tcPr>
            <w:tcW w:w="0" w:type="dxa"/>
            <w:vAlign w:val="bottom"/>
          </w:tcPr>
          <w:p>
            <w:pPr>
              <w:spacing w:after="0"/>
              <w:rPr>
                <w:sz w:val="1"/>
                <w:szCs w:val="1"/>
                <w:color w:val="auto"/>
              </w:rPr>
            </w:pPr>
          </w:p>
        </w:tc>
      </w:tr>
      <w:tr>
        <w:trPr>
          <w:trHeight w:val="198"/>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90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26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40" w:type="dxa"/>
            <w:vAlign w:val="bottom"/>
            <w:gridSpan w:val="13"/>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60" w:type="dxa"/>
            <w:vAlign w:val="bottom"/>
            <w:gridSpan w:val="11"/>
          </w:tcPr>
          <w:p>
            <w:pPr>
              <w:ind w:left="7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4"/>
          </w:tcPr>
          <w:p>
            <w:pPr>
              <w:spacing w:after="0"/>
              <w:rPr>
                <w:sz w:val="2"/>
                <w:szCs w:val="2"/>
                <w:color w:val="auto"/>
              </w:rPr>
            </w:pPr>
          </w:p>
        </w:tc>
        <w:tc>
          <w:tcPr>
            <w:tcW w:w="13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00" w:type="dxa"/>
            <w:vAlign w:val="bottom"/>
          </w:tcPr>
          <w:p>
            <w:pPr>
              <w:ind w:left="140"/>
              <w:spacing w:after="0"/>
              <w:rPr>
                <w:sz w:val="20"/>
                <w:szCs w:val="20"/>
                <w:color w:val="auto"/>
              </w:rPr>
            </w:pPr>
            <w:r>
              <w:rPr>
                <w:rFonts w:ascii="Arial" w:cs="Arial" w:eastAsia="Arial" w:hAnsi="Arial"/>
                <w:sz w:val="11"/>
                <w:szCs w:val="11"/>
                <w:b w:val="1"/>
                <w:bCs w:val="1"/>
                <w:color w:val="auto"/>
              </w:rPr>
              <w:t>5. Number</w:t>
            </w:r>
          </w:p>
        </w:tc>
        <w:tc>
          <w:tcPr>
            <w:tcW w:w="1480" w:type="dxa"/>
            <w:vAlign w:val="bottom"/>
            <w:gridSpan w:val="4"/>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80" w:type="dxa"/>
            <w:vAlign w:val="bottom"/>
            <w:gridSpan w:val="4"/>
          </w:tcPr>
          <w:p>
            <w:pPr>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80" w:type="dxa"/>
            <w:vAlign w:val="bottom"/>
          </w:tcPr>
          <w:p>
            <w:pPr>
              <w:jc w:val="right"/>
              <w:ind w:right="364"/>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900" w:type="dxa"/>
            <w:vAlign w:val="bottom"/>
          </w:tcPr>
          <w:p>
            <w:pPr>
              <w:ind w:left="140"/>
              <w:spacing w:after="0"/>
              <w:rPr>
                <w:sz w:val="20"/>
                <w:szCs w:val="20"/>
                <w:color w:val="auto"/>
              </w:rPr>
            </w:pPr>
            <w:r>
              <w:rPr>
                <w:rFonts w:ascii="Arial" w:cs="Arial" w:eastAsia="Arial" w:hAnsi="Arial"/>
                <w:sz w:val="11"/>
                <w:szCs w:val="11"/>
                <w:b w:val="1"/>
                <w:bCs w:val="1"/>
                <w:color w:val="auto"/>
              </w:rPr>
              <w:t>of</w:t>
            </w:r>
          </w:p>
        </w:tc>
        <w:tc>
          <w:tcPr>
            <w:tcW w:w="94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540" w:type="dxa"/>
            <w:vAlign w:val="bottom"/>
          </w:tcPr>
          <w:p>
            <w:pPr>
              <w:spacing w:after="0"/>
              <w:rPr>
                <w:sz w:val="11"/>
                <w:szCs w:val="11"/>
                <w:color w:val="auto"/>
              </w:rPr>
            </w:pPr>
          </w:p>
        </w:tc>
        <w:tc>
          <w:tcPr>
            <w:tcW w:w="1380" w:type="dxa"/>
            <w:vAlign w:val="bottom"/>
            <w:gridSpan w:val="4"/>
          </w:tcPr>
          <w:p>
            <w:pPr>
              <w:spacing w:after="0"/>
              <w:rPr>
                <w:sz w:val="20"/>
                <w:szCs w:val="20"/>
                <w:color w:val="auto"/>
              </w:rPr>
            </w:pPr>
            <w:r>
              <w:rPr>
                <w:rFonts w:ascii="Arial" w:cs="Arial" w:eastAsia="Arial" w:hAnsi="Arial"/>
                <w:sz w:val="11"/>
                <w:szCs w:val="11"/>
                <w:b w:val="1"/>
                <w:bCs w:val="1"/>
                <w:color w:val="auto"/>
              </w:rPr>
              <w:t>Securities Underlying</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500" w:type="dxa"/>
            <w:vAlign w:val="bottom"/>
            <w:gridSpan w:val="4"/>
          </w:tcPr>
          <w:p>
            <w:pPr>
              <w:ind w:left="10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900" w:type="dxa"/>
            <w:vAlign w:val="bottom"/>
          </w:tcPr>
          <w:p>
            <w:pPr>
              <w:ind w:left="140"/>
              <w:spacing w:after="0"/>
              <w:rPr>
                <w:sz w:val="20"/>
                <w:szCs w:val="20"/>
                <w:color w:val="auto"/>
              </w:rPr>
            </w:pPr>
            <w:r>
              <w:rPr>
                <w:rFonts w:ascii="Arial" w:cs="Arial" w:eastAsia="Arial" w:hAnsi="Arial"/>
                <w:sz w:val="11"/>
                <w:szCs w:val="11"/>
                <w:b w:val="1"/>
                <w:bCs w:val="1"/>
                <w:color w:val="auto"/>
              </w:rPr>
              <w:t>Derivative</w:t>
            </w:r>
          </w:p>
        </w:tc>
        <w:tc>
          <w:tcPr>
            <w:tcW w:w="940" w:type="dxa"/>
            <w:vAlign w:val="bottom"/>
            <w:gridSpan w:val="3"/>
          </w:tcPr>
          <w:p>
            <w:pPr>
              <w:ind w:left="20"/>
              <w:spacing w:after="0"/>
              <w:rPr>
                <w:sz w:val="20"/>
                <w:szCs w:val="20"/>
                <w:color w:val="auto"/>
              </w:rPr>
            </w:pPr>
            <w:r>
              <w:rPr>
                <w:rFonts w:ascii="Arial" w:cs="Arial" w:eastAsia="Arial" w:hAnsi="Arial"/>
                <w:sz w:val="11"/>
                <w:szCs w:val="11"/>
                <w:b w:val="1"/>
                <w:bCs w:val="1"/>
                <w:color w:val="auto"/>
                <w:w w:val="99"/>
              </w:rPr>
              <w:t>(Month/Day/Year)</w:t>
            </w:r>
          </w:p>
        </w:tc>
        <w:tc>
          <w:tcPr>
            <w:tcW w:w="540" w:type="dxa"/>
            <w:vAlign w:val="bottom"/>
          </w:tcPr>
          <w:p>
            <w:pPr>
              <w:spacing w:after="0"/>
              <w:rPr>
                <w:sz w:val="11"/>
                <w:szCs w:val="11"/>
                <w:color w:val="auto"/>
              </w:rPr>
            </w:pPr>
          </w:p>
        </w:tc>
        <w:tc>
          <w:tcPr>
            <w:tcW w:w="1380" w:type="dxa"/>
            <w:vAlign w:val="bottom"/>
            <w:gridSpan w:val="4"/>
          </w:tcPr>
          <w:p>
            <w:pPr>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w w:val="98"/>
              </w:rPr>
              <w:t>Securities</w:t>
            </w:r>
          </w:p>
        </w:tc>
        <w:tc>
          <w:tcPr>
            <w:tcW w:w="260" w:type="dxa"/>
            <w:vAlign w:val="bottom"/>
          </w:tcPr>
          <w:p>
            <w:pPr>
              <w:spacing w:after="0"/>
              <w:rPr>
                <w:sz w:val="11"/>
                <w:szCs w:val="11"/>
                <w:color w:val="auto"/>
              </w:rPr>
            </w:pPr>
          </w:p>
        </w:tc>
        <w:tc>
          <w:tcPr>
            <w:tcW w:w="680" w:type="dxa"/>
            <w:vAlign w:val="bottom"/>
          </w:tcPr>
          <w:p>
            <w:pPr>
              <w:ind w:left="10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00" w:type="dxa"/>
            <w:vAlign w:val="bottom"/>
          </w:tcPr>
          <w:p>
            <w:pPr>
              <w:ind w:left="140"/>
              <w:spacing w:after="0"/>
              <w:rPr>
                <w:sz w:val="20"/>
                <w:szCs w:val="20"/>
                <w:color w:val="auto"/>
              </w:rPr>
            </w:pPr>
            <w:r>
              <w:rPr>
                <w:rFonts w:ascii="Arial" w:cs="Arial" w:eastAsia="Arial" w:hAnsi="Arial"/>
                <w:sz w:val="11"/>
                <w:szCs w:val="11"/>
                <w:b w:val="1"/>
                <w:bCs w:val="1"/>
                <w:color w:val="auto"/>
              </w:rPr>
              <w:t>Securities</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80" w:type="dxa"/>
            <w:vAlign w:val="bottom"/>
            <w:gridSpan w:val="4"/>
          </w:tcPr>
          <w:p>
            <w:pPr>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80" w:type="dxa"/>
            <w:vAlign w:val="bottom"/>
          </w:tcPr>
          <w:p>
            <w:pPr>
              <w:ind w:left="10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40"/>
              <w:spacing w:after="0"/>
              <w:rPr>
                <w:sz w:val="20"/>
                <w:szCs w:val="20"/>
                <w:color w:val="auto"/>
              </w:rPr>
            </w:pPr>
            <w:r>
              <w:rPr>
                <w:rFonts w:ascii="Arial" w:cs="Arial" w:eastAsia="Arial" w:hAnsi="Arial"/>
                <w:sz w:val="11"/>
                <w:szCs w:val="11"/>
                <w:b w:val="1"/>
                <w:bCs w:val="1"/>
                <w:color w:val="auto"/>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60" w:type="dxa"/>
            <w:vAlign w:val="bottom"/>
          </w:tcPr>
          <w:p>
            <w:pPr>
              <w:spacing w:after="0"/>
              <w:rPr>
                <w:sz w:val="11"/>
                <w:szCs w:val="11"/>
                <w:color w:val="auto"/>
              </w:rPr>
            </w:pPr>
          </w:p>
        </w:tc>
        <w:tc>
          <w:tcPr>
            <w:tcW w:w="680" w:type="dxa"/>
            <w:vAlign w:val="bottom"/>
          </w:tcPr>
          <w:p>
            <w:pPr>
              <w:ind w:left="10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40"/>
              <w:spacing w:after="0"/>
              <w:rPr>
                <w:sz w:val="20"/>
                <w:szCs w:val="20"/>
                <w:color w:val="auto"/>
              </w:rPr>
            </w:pPr>
            <w:r>
              <w:rPr>
                <w:rFonts w:ascii="Arial" w:cs="Arial" w:eastAsia="Arial" w:hAnsi="Arial"/>
                <w:sz w:val="11"/>
                <w:szCs w:val="11"/>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60" w:type="dxa"/>
            <w:vAlign w:val="bottom"/>
          </w:tcPr>
          <w:p>
            <w:pPr>
              <w:spacing w:after="0"/>
              <w:rPr>
                <w:sz w:val="11"/>
                <w:szCs w:val="11"/>
                <w:color w:val="auto"/>
              </w:rPr>
            </w:pPr>
          </w:p>
        </w:tc>
        <w:tc>
          <w:tcPr>
            <w:tcW w:w="1500" w:type="dxa"/>
            <w:vAlign w:val="bottom"/>
            <w:gridSpan w:val="4"/>
          </w:tcPr>
          <w:p>
            <w:pPr>
              <w:ind w:left="10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40"/>
              <w:spacing w:after="0"/>
              <w:rPr>
                <w:sz w:val="20"/>
                <w:szCs w:val="20"/>
                <w:color w:val="auto"/>
              </w:rPr>
            </w:pPr>
            <w:r>
              <w:rPr>
                <w:rFonts w:ascii="Arial" w:cs="Arial" w:eastAsia="Arial" w:hAnsi="Arial"/>
                <w:sz w:val="11"/>
                <w:szCs w:val="11"/>
                <w:b w:val="1"/>
                <w:bCs w:val="1"/>
                <w:color w:val="auto"/>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4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tcPr>
          <w:p>
            <w:pPr>
              <w:ind w:left="14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Amount or</w:t>
            </w: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40" w:type="dxa"/>
            <w:vAlign w:val="bottom"/>
            <w:gridSpan w:val="2"/>
          </w:tcPr>
          <w:p>
            <w:pPr>
              <w:jc w:val="center"/>
              <w:ind w:right="35"/>
              <w:spacing w:after="0"/>
              <w:rPr>
                <w:sz w:val="20"/>
                <w:szCs w:val="20"/>
                <w:color w:val="auto"/>
              </w:rPr>
            </w:pPr>
            <w:r>
              <w:rPr>
                <w:rFonts w:ascii="Arial" w:cs="Arial" w:eastAsia="Arial" w:hAnsi="Arial"/>
                <w:sz w:val="11"/>
                <w:szCs w:val="11"/>
                <w:b w:val="1"/>
                <w:bCs w:val="1"/>
                <w:color w:val="auto"/>
              </w:rPr>
              <w:t>Expiration</w:t>
            </w: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Number of</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900" w:type="dxa"/>
            <w:vAlign w:val="bottom"/>
          </w:tcPr>
          <w:p>
            <w:pPr>
              <w:ind w:left="140"/>
              <w:spacing w:after="0"/>
              <w:rPr>
                <w:sz w:val="20"/>
                <w:szCs w:val="20"/>
                <w:color w:val="auto"/>
              </w:rPr>
            </w:pPr>
            <w:r>
              <w:rPr>
                <w:rFonts w:ascii="Arial" w:cs="Arial" w:eastAsia="Arial" w:hAnsi="Arial"/>
                <w:sz w:val="11"/>
                <w:szCs w:val="11"/>
                <w:b w:val="1"/>
                <w:bCs w:val="1"/>
                <w:color w:val="auto"/>
              </w:rPr>
              <w:t>(A)  (D)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600" w:type="dxa"/>
            <w:vAlign w:val="bottom"/>
            <w:gridSpan w:val="2"/>
          </w:tcPr>
          <w:p>
            <w:pPr>
              <w:spacing w:after="0"/>
              <w:rPr>
                <w:sz w:val="20"/>
                <w:szCs w:val="20"/>
                <w:color w:val="auto"/>
              </w:rPr>
            </w:pPr>
            <w:r>
              <w:rPr>
                <w:rFonts w:ascii="Arial" w:cs="Arial" w:eastAsia="Arial" w:hAnsi="Arial"/>
                <w:sz w:val="11"/>
                <w:szCs w:val="11"/>
                <w:b w:val="1"/>
                <w:bCs w:val="1"/>
                <w:color w:val="auto"/>
              </w:rPr>
              <w:t>Title</w:t>
            </w: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LLC Units</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in</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(7)</w:t>
            </w:r>
          </w:p>
        </w:tc>
        <w:tc>
          <w:tcPr>
            <w:tcW w:w="200" w:type="dxa"/>
            <w:vAlign w:val="bottom"/>
          </w:tcPr>
          <w:p>
            <w:pPr>
              <w:spacing w:after="0"/>
              <w:rPr>
                <w:sz w:val="12"/>
                <w:szCs w:val="12"/>
                <w:color w:val="auto"/>
              </w:rPr>
            </w:pPr>
          </w:p>
        </w:tc>
        <w:tc>
          <w:tcPr>
            <w:tcW w:w="540" w:type="dxa"/>
            <w:vAlign w:val="bottom"/>
            <w:vMerge w:val="restart"/>
          </w:tcPr>
          <w:p>
            <w:pPr>
              <w:jc w:val="center"/>
              <w:ind w:right="235"/>
              <w:spacing w:after="0"/>
              <w:rPr>
                <w:sz w:val="20"/>
                <w:szCs w:val="20"/>
                <w:color w:val="auto"/>
              </w:rPr>
            </w:pPr>
            <w:r>
              <w:rPr>
                <w:rFonts w:ascii="Times New Roman" w:cs="Times New Roman" w:eastAsia="Times New Roman" w:hAnsi="Times New Roman"/>
                <w:sz w:val="11"/>
                <w:szCs w:val="11"/>
                <w:color w:val="008000"/>
                <w:w w:val="93"/>
              </w:rPr>
              <w:t>(7)</w:t>
            </w:r>
          </w:p>
        </w:tc>
        <w:tc>
          <w:tcPr>
            <w:tcW w:w="40" w:type="dxa"/>
            <w:vAlign w:val="bottom"/>
          </w:tcPr>
          <w:p>
            <w:pPr>
              <w:spacing w:after="0"/>
              <w:rPr>
                <w:sz w:val="12"/>
                <w:szCs w:val="12"/>
                <w:color w:val="auto"/>
              </w:rPr>
            </w:pPr>
          </w:p>
        </w:tc>
        <w:tc>
          <w:tcPr>
            <w:tcW w:w="560" w:type="dxa"/>
            <w:vAlign w:val="bottom"/>
          </w:tcPr>
          <w:p>
            <w:pPr>
              <w:jc w:val="center"/>
              <w:ind w:right="92"/>
              <w:spacing w:after="0" w:line="139" w:lineRule="exact"/>
              <w:rPr>
                <w:sz w:val="20"/>
                <w:szCs w:val="20"/>
                <w:color w:val="auto"/>
              </w:rPr>
            </w:pPr>
            <w:r>
              <w:rPr>
                <w:rFonts w:ascii="Times New Roman" w:cs="Times New Roman" w:eastAsia="Times New Roman" w:hAnsi="Times New Roman"/>
                <w:sz w:val="13"/>
                <w:szCs w:val="13"/>
                <w:color w:val="0000FF"/>
                <w:w w:val="97"/>
              </w:rPr>
              <w:t>Class A</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82,689</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vMerge w:val="restart"/>
          </w:tcPr>
          <w:p>
            <w:pPr>
              <w:jc w:val="center"/>
              <w:ind w:left="84"/>
              <w:spacing w:after="0" w:line="278" w:lineRule="exact"/>
              <w:rPr>
                <w:sz w:val="20"/>
                <w:szCs w:val="20"/>
                <w:color w:val="auto"/>
              </w:rPr>
            </w:pPr>
            <w:r>
              <w:rPr>
                <w:rFonts w:ascii="Times New Roman" w:cs="Times New Roman" w:eastAsia="Times New Roman" w:hAnsi="Times New Roman"/>
                <w:sz w:val="25"/>
                <w:szCs w:val="25"/>
                <w:color w:val="0000FF"/>
                <w:w w:val="88"/>
                <w:vertAlign w:val="subscript"/>
              </w:rPr>
              <w:t>D</w:t>
            </w:r>
            <w:r>
              <w:rPr>
                <w:rFonts w:ascii="Times New Roman" w:cs="Times New Roman" w:eastAsia="Times New Roman" w:hAnsi="Times New Roman"/>
                <w:sz w:val="11"/>
                <w:szCs w:val="11"/>
                <w:color w:val="008000"/>
                <w:w w:val="88"/>
              </w:rPr>
              <w:t>(1)</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Goosehead</w:t>
            </w:r>
          </w:p>
        </w:tc>
        <w:tc>
          <w:tcPr>
            <w:tcW w:w="760" w:type="dxa"/>
            <w:vAlign w:val="bottom"/>
          </w:tcPr>
          <w:p>
            <w:pPr>
              <w:ind w:left="3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60" w:type="dxa"/>
            <w:vAlign w:val="bottom"/>
          </w:tcPr>
          <w:p>
            <w:pPr>
              <w:jc w:val="right"/>
              <w:ind w:right="161"/>
              <w:spacing w:after="0" w:line="139" w:lineRule="exact"/>
              <w:rPr>
                <w:sz w:val="20"/>
                <w:szCs w:val="20"/>
                <w:color w:val="auto"/>
              </w:rPr>
            </w:pPr>
            <w:r>
              <w:rPr>
                <w:rFonts w:ascii="Times New Roman" w:cs="Times New Roman" w:eastAsia="Times New Roman" w:hAnsi="Times New Roman"/>
                <w:sz w:val="13"/>
                <w:szCs w:val="13"/>
                <w:color w:val="0000FF"/>
              </w:rPr>
              <w:t>05/22/2026</w:t>
            </w:r>
          </w:p>
        </w:tc>
        <w:tc>
          <w:tcPr>
            <w:tcW w:w="1080" w:type="dxa"/>
            <w:vAlign w:val="bottom"/>
          </w:tcPr>
          <w:p>
            <w:pPr>
              <w:spacing w:after="0"/>
              <w:rPr>
                <w:sz w:val="12"/>
                <w:szCs w:val="12"/>
                <w:color w:val="auto"/>
              </w:rPr>
            </w:pPr>
          </w:p>
        </w:tc>
        <w:tc>
          <w:tcPr>
            <w:tcW w:w="720" w:type="dxa"/>
            <w:vAlign w:val="bottom"/>
          </w:tcPr>
          <w:p>
            <w:pPr>
              <w:ind w:left="160"/>
              <w:spacing w:after="0" w:line="139" w:lineRule="exact"/>
              <w:rPr>
                <w:sz w:val="20"/>
                <w:szCs w:val="20"/>
                <w:color w:val="auto"/>
              </w:rPr>
            </w:pPr>
            <w:r>
              <w:rPr>
                <w:rFonts w:ascii="Times New Roman" w:cs="Times New Roman" w:eastAsia="Times New Roman" w:hAnsi="Times New Roman"/>
                <w:sz w:val="13"/>
                <w:szCs w:val="13"/>
                <w:color w:val="0000FF"/>
              </w:rPr>
              <w:t>C</w:t>
            </w:r>
          </w:p>
        </w:tc>
        <w:tc>
          <w:tcPr>
            <w:tcW w:w="900" w:type="dxa"/>
            <w:vAlign w:val="bottom"/>
          </w:tcPr>
          <w:p>
            <w:pPr>
              <w:ind w:left="440"/>
              <w:spacing w:after="0" w:line="139" w:lineRule="exact"/>
              <w:rPr>
                <w:sz w:val="20"/>
                <w:szCs w:val="20"/>
                <w:color w:val="auto"/>
              </w:rPr>
            </w:pPr>
            <w:r>
              <w:rPr>
                <w:rFonts w:ascii="Times New Roman" w:cs="Times New Roman" w:eastAsia="Times New Roman" w:hAnsi="Times New Roman"/>
                <w:sz w:val="13"/>
                <w:szCs w:val="13"/>
                <w:color w:val="0000FF"/>
              </w:rPr>
              <w:t>82,689</w:t>
            </w:r>
          </w:p>
        </w:tc>
        <w:tc>
          <w:tcPr>
            <w:tcW w:w="7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600" w:type="dxa"/>
            <w:vAlign w:val="bottom"/>
            <w:gridSpan w:val="2"/>
          </w:tcPr>
          <w:p>
            <w:pPr>
              <w:jc w:val="center"/>
              <w:ind w:right="52"/>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7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2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6"/>
              </w:rPr>
              <w:t>7,050,356</w:t>
            </w:r>
          </w:p>
        </w:tc>
        <w:tc>
          <w:tcPr>
            <w:tcW w:w="68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Financial,</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jc w:val="center"/>
              <w:ind w:right="92"/>
              <w:spacing w:after="0" w:line="139" w:lineRule="exact"/>
              <w:rPr>
                <w:sz w:val="20"/>
                <w:szCs w:val="20"/>
                <w:color w:val="auto"/>
              </w:rPr>
            </w:pPr>
            <w:r>
              <w:rPr>
                <w:rFonts w:ascii="Times New Roman" w:cs="Times New Roman" w:eastAsia="Times New Roman" w:hAnsi="Times New Roman"/>
                <w:sz w:val="13"/>
                <w:szCs w:val="13"/>
                <w:color w:val="0000FF"/>
                <w:w w:val="94"/>
              </w:rPr>
              <w:t>Stock</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LLC</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LLC Units</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in</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(7)</w:t>
            </w:r>
          </w:p>
        </w:tc>
        <w:tc>
          <w:tcPr>
            <w:tcW w:w="200" w:type="dxa"/>
            <w:vAlign w:val="bottom"/>
          </w:tcPr>
          <w:p>
            <w:pPr>
              <w:spacing w:after="0"/>
              <w:rPr>
                <w:sz w:val="12"/>
                <w:szCs w:val="12"/>
                <w:color w:val="auto"/>
              </w:rPr>
            </w:pPr>
          </w:p>
        </w:tc>
        <w:tc>
          <w:tcPr>
            <w:tcW w:w="540" w:type="dxa"/>
            <w:vAlign w:val="bottom"/>
            <w:vMerge w:val="restart"/>
          </w:tcPr>
          <w:p>
            <w:pPr>
              <w:jc w:val="center"/>
              <w:ind w:right="235"/>
              <w:spacing w:after="0"/>
              <w:rPr>
                <w:sz w:val="20"/>
                <w:szCs w:val="20"/>
                <w:color w:val="auto"/>
              </w:rPr>
            </w:pPr>
            <w:r>
              <w:rPr>
                <w:rFonts w:ascii="Times New Roman" w:cs="Times New Roman" w:eastAsia="Times New Roman" w:hAnsi="Times New Roman"/>
                <w:sz w:val="11"/>
                <w:szCs w:val="11"/>
                <w:color w:val="008000"/>
                <w:w w:val="93"/>
              </w:rPr>
              <w:t>(7)</w:t>
            </w:r>
          </w:p>
        </w:tc>
        <w:tc>
          <w:tcPr>
            <w:tcW w:w="40" w:type="dxa"/>
            <w:vAlign w:val="bottom"/>
          </w:tcPr>
          <w:p>
            <w:pPr>
              <w:spacing w:after="0"/>
              <w:rPr>
                <w:sz w:val="12"/>
                <w:szCs w:val="12"/>
                <w:color w:val="auto"/>
              </w:rPr>
            </w:pPr>
          </w:p>
        </w:tc>
        <w:tc>
          <w:tcPr>
            <w:tcW w:w="560" w:type="dxa"/>
            <w:vAlign w:val="bottom"/>
          </w:tcPr>
          <w:p>
            <w:pPr>
              <w:jc w:val="center"/>
              <w:ind w:right="92"/>
              <w:spacing w:after="0" w:line="139" w:lineRule="exact"/>
              <w:rPr>
                <w:sz w:val="20"/>
                <w:szCs w:val="20"/>
                <w:color w:val="auto"/>
              </w:rPr>
            </w:pPr>
            <w:r>
              <w:rPr>
                <w:rFonts w:ascii="Times New Roman" w:cs="Times New Roman" w:eastAsia="Times New Roman" w:hAnsi="Times New Roman"/>
                <w:sz w:val="13"/>
                <w:szCs w:val="13"/>
                <w:color w:val="0000FF"/>
                <w:w w:val="97"/>
              </w:rPr>
              <w:t>Class A</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182,349</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vMerge w:val="restart"/>
          </w:tcPr>
          <w:p>
            <w:pPr>
              <w:jc w:val="center"/>
              <w:ind w:left="84"/>
              <w:spacing w:after="0" w:line="278" w:lineRule="exact"/>
              <w:rPr>
                <w:sz w:val="20"/>
                <w:szCs w:val="20"/>
                <w:color w:val="auto"/>
              </w:rPr>
            </w:pPr>
            <w:r>
              <w:rPr>
                <w:rFonts w:ascii="Times New Roman" w:cs="Times New Roman" w:eastAsia="Times New Roman" w:hAnsi="Times New Roman"/>
                <w:sz w:val="25"/>
                <w:szCs w:val="25"/>
                <w:color w:val="0000FF"/>
                <w:w w:val="88"/>
                <w:vertAlign w:val="subscript"/>
              </w:rPr>
              <w:t>D</w:t>
            </w:r>
            <w:r>
              <w:rPr>
                <w:rFonts w:ascii="Times New Roman" w:cs="Times New Roman" w:eastAsia="Times New Roman" w:hAnsi="Times New Roman"/>
                <w:sz w:val="11"/>
                <w:szCs w:val="11"/>
                <w:color w:val="008000"/>
                <w:w w:val="88"/>
              </w:rPr>
              <w:t>(4)</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Goosehead</w:t>
            </w:r>
          </w:p>
        </w:tc>
        <w:tc>
          <w:tcPr>
            <w:tcW w:w="760" w:type="dxa"/>
            <w:vAlign w:val="bottom"/>
          </w:tcPr>
          <w:p>
            <w:pPr>
              <w:ind w:left="3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600" w:type="dxa"/>
            <w:vAlign w:val="bottom"/>
            <w:gridSpan w:val="2"/>
          </w:tcPr>
          <w:p>
            <w:pPr>
              <w:jc w:val="center"/>
              <w:ind w:right="52"/>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7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2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182,349</w:t>
            </w:r>
          </w:p>
        </w:tc>
        <w:tc>
          <w:tcPr>
            <w:tcW w:w="68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Financial,</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jc w:val="center"/>
              <w:ind w:right="92"/>
              <w:spacing w:after="0" w:line="139" w:lineRule="exact"/>
              <w:rPr>
                <w:sz w:val="20"/>
                <w:szCs w:val="20"/>
                <w:color w:val="auto"/>
              </w:rPr>
            </w:pPr>
            <w:r>
              <w:rPr>
                <w:rFonts w:ascii="Times New Roman" w:cs="Times New Roman" w:eastAsia="Times New Roman" w:hAnsi="Times New Roman"/>
                <w:sz w:val="13"/>
                <w:szCs w:val="13"/>
                <w:color w:val="0000FF"/>
                <w:w w:val="94"/>
              </w:rPr>
              <w:t>Stock</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LLC</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LLC Units</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in</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(7)</w:t>
            </w:r>
          </w:p>
        </w:tc>
        <w:tc>
          <w:tcPr>
            <w:tcW w:w="200" w:type="dxa"/>
            <w:vAlign w:val="bottom"/>
          </w:tcPr>
          <w:p>
            <w:pPr>
              <w:spacing w:after="0"/>
              <w:rPr>
                <w:sz w:val="12"/>
                <w:szCs w:val="12"/>
                <w:color w:val="auto"/>
              </w:rPr>
            </w:pPr>
          </w:p>
        </w:tc>
        <w:tc>
          <w:tcPr>
            <w:tcW w:w="540" w:type="dxa"/>
            <w:vAlign w:val="bottom"/>
            <w:vMerge w:val="restart"/>
          </w:tcPr>
          <w:p>
            <w:pPr>
              <w:jc w:val="center"/>
              <w:ind w:right="235"/>
              <w:spacing w:after="0"/>
              <w:rPr>
                <w:sz w:val="20"/>
                <w:szCs w:val="20"/>
                <w:color w:val="auto"/>
              </w:rPr>
            </w:pPr>
            <w:r>
              <w:rPr>
                <w:rFonts w:ascii="Times New Roman" w:cs="Times New Roman" w:eastAsia="Times New Roman" w:hAnsi="Times New Roman"/>
                <w:sz w:val="11"/>
                <w:szCs w:val="11"/>
                <w:color w:val="008000"/>
                <w:w w:val="93"/>
              </w:rPr>
              <w:t>(7)</w:t>
            </w:r>
          </w:p>
        </w:tc>
        <w:tc>
          <w:tcPr>
            <w:tcW w:w="40" w:type="dxa"/>
            <w:vAlign w:val="bottom"/>
          </w:tcPr>
          <w:p>
            <w:pPr>
              <w:spacing w:after="0"/>
              <w:rPr>
                <w:sz w:val="12"/>
                <w:szCs w:val="12"/>
                <w:color w:val="auto"/>
              </w:rPr>
            </w:pPr>
          </w:p>
        </w:tc>
        <w:tc>
          <w:tcPr>
            <w:tcW w:w="560" w:type="dxa"/>
            <w:vAlign w:val="bottom"/>
          </w:tcPr>
          <w:p>
            <w:pPr>
              <w:jc w:val="center"/>
              <w:ind w:right="92"/>
              <w:spacing w:after="0" w:line="139" w:lineRule="exact"/>
              <w:rPr>
                <w:sz w:val="20"/>
                <w:szCs w:val="20"/>
                <w:color w:val="auto"/>
              </w:rPr>
            </w:pPr>
            <w:r>
              <w:rPr>
                <w:rFonts w:ascii="Times New Roman" w:cs="Times New Roman" w:eastAsia="Times New Roman" w:hAnsi="Times New Roman"/>
                <w:sz w:val="13"/>
                <w:szCs w:val="13"/>
                <w:color w:val="0000FF"/>
                <w:w w:val="97"/>
              </w:rPr>
              <w:t>Class A</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132,349</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vMerge w:val="restart"/>
          </w:tcPr>
          <w:p>
            <w:pPr>
              <w:jc w:val="center"/>
              <w:ind w:left="84"/>
              <w:spacing w:after="0" w:line="278" w:lineRule="exact"/>
              <w:rPr>
                <w:sz w:val="20"/>
                <w:szCs w:val="20"/>
                <w:color w:val="auto"/>
              </w:rPr>
            </w:pPr>
            <w:r>
              <w:rPr>
                <w:rFonts w:ascii="Times New Roman" w:cs="Times New Roman" w:eastAsia="Times New Roman" w:hAnsi="Times New Roman"/>
                <w:sz w:val="25"/>
                <w:szCs w:val="25"/>
                <w:color w:val="0000FF"/>
                <w:w w:val="88"/>
                <w:vertAlign w:val="subscript"/>
              </w:rPr>
              <w:t>D</w:t>
            </w:r>
            <w:r>
              <w:rPr>
                <w:rFonts w:ascii="Times New Roman" w:cs="Times New Roman" w:eastAsia="Times New Roman" w:hAnsi="Times New Roman"/>
                <w:sz w:val="11"/>
                <w:szCs w:val="11"/>
                <w:color w:val="008000"/>
                <w:w w:val="88"/>
              </w:rPr>
              <w:t>(5)</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Goosehead</w:t>
            </w:r>
          </w:p>
        </w:tc>
        <w:tc>
          <w:tcPr>
            <w:tcW w:w="760" w:type="dxa"/>
            <w:vAlign w:val="bottom"/>
          </w:tcPr>
          <w:p>
            <w:pPr>
              <w:ind w:left="3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600" w:type="dxa"/>
            <w:vAlign w:val="bottom"/>
            <w:gridSpan w:val="2"/>
          </w:tcPr>
          <w:p>
            <w:pPr>
              <w:jc w:val="center"/>
              <w:ind w:right="52"/>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7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2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132,349</w:t>
            </w:r>
          </w:p>
        </w:tc>
        <w:tc>
          <w:tcPr>
            <w:tcW w:w="68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Financial,</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jc w:val="center"/>
              <w:ind w:right="92"/>
              <w:spacing w:after="0" w:line="139" w:lineRule="exact"/>
              <w:rPr>
                <w:sz w:val="20"/>
                <w:szCs w:val="20"/>
                <w:color w:val="auto"/>
              </w:rPr>
            </w:pPr>
            <w:r>
              <w:rPr>
                <w:rFonts w:ascii="Times New Roman" w:cs="Times New Roman" w:eastAsia="Times New Roman" w:hAnsi="Times New Roman"/>
                <w:sz w:val="13"/>
                <w:szCs w:val="13"/>
                <w:color w:val="0000FF"/>
                <w:w w:val="94"/>
              </w:rPr>
              <w:t>Stock</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LLC</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LLC Units</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in</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(7)</w:t>
            </w:r>
          </w:p>
        </w:tc>
        <w:tc>
          <w:tcPr>
            <w:tcW w:w="200" w:type="dxa"/>
            <w:vAlign w:val="bottom"/>
          </w:tcPr>
          <w:p>
            <w:pPr>
              <w:spacing w:after="0"/>
              <w:rPr>
                <w:sz w:val="12"/>
                <w:szCs w:val="12"/>
                <w:color w:val="auto"/>
              </w:rPr>
            </w:pPr>
          </w:p>
        </w:tc>
        <w:tc>
          <w:tcPr>
            <w:tcW w:w="540" w:type="dxa"/>
            <w:vAlign w:val="bottom"/>
            <w:vMerge w:val="restart"/>
          </w:tcPr>
          <w:p>
            <w:pPr>
              <w:jc w:val="center"/>
              <w:ind w:right="235"/>
              <w:spacing w:after="0"/>
              <w:rPr>
                <w:sz w:val="20"/>
                <w:szCs w:val="20"/>
                <w:color w:val="auto"/>
              </w:rPr>
            </w:pPr>
            <w:r>
              <w:rPr>
                <w:rFonts w:ascii="Times New Roman" w:cs="Times New Roman" w:eastAsia="Times New Roman" w:hAnsi="Times New Roman"/>
                <w:sz w:val="11"/>
                <w:szCs w:val="11"/>
                <w:color w:val="008000"/>
                <w:w w:val="93"/>
              </w:rPr>
              <w:t>(7)</w:t>
            </w:r>
          </w:p>
        </w:tc>
        <w:tc>
          <w:tcPr>
            <w:tcW w:w="40" w:type="dxa"/>
            <w:vAlign w:val="bottom"/>
          </w:tcPr>
          <w:p>
            <w:pPr>
              <w:spacing w:after="0"/>
              <w:rPr>
                <w:sz w:val="12"/>
                <w:szCs w:val="12"/>
                <w:color w:val="auto"/>
              </w:rPr>
            </w:pPr>
          </w:p>
        </w:tc>
        <w:tc>
          <w:tcPr>
            <w:tcW w:w="560" w:type="dxa"/>
            <w:vAlign w:val="bottom"/>
          </w:tcPr>
          <w:p>
            <w:pPr>
              <w:jc w:val="center"/>
              <w:ind w:right="92"/>
              <w:spacing w:after="0" w:line="139" w:lineRule="exact"/>
              <w:rPr>
                <w:sz w:val="20"/>
                <w:szCs w:val="20"/>
                <w:color w:val="auto"/>
              </w:rPr>
            </w:pPr>
            <w:r>
              <w:rPr>
                <w:rFonts w:ascii="Times New Roman" w:cs="Times New Roman" w:eastAsia="Times New Roman" w:hAnsi="Times New Roman"/>
                <w:sz w:val="13"/>
                <w:szCs w:val="13"/>
                <w:color w:val="0000FF"/>
                <w:w w:val="97"/>
              </w:rPr>
              <w:t>Class A</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1,766,355</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gridSpan w:val="3"/>
            <w:vMerge w:val="restart"/>
          </w:tcPr>
          <w:p>
            <w:pPr>
              <w:ind w:left="140"/>
              <w:spacing w:after="0"/>
              <w:rPr>
                <w:sz w:val="20"/>
                <w:szCs w:val="20"/>
                <w:color w:val="auto"/>
              </w:rPr>
            </w:pPr>
            <w:r>
              <w:rPr>
                <w:rFonts w:ascii="Times New Roman" w:cs="Times New Roman" w:eastAsia="Times New Roman" w:hAnsi="Times New Roman"/>
                <w:sz w:val="13"/>
                <w:szCs w:val="13"/>
                <w:color w:val="0000FF"/>
              </w:rPr>
              <w:t>By Trust</w:t>
            </w:r>
            <w:r>
              <w:rPr>
                <w:rFonts w:ascii="Times New Roman" w:cs="Times New Roman" w:eastAsia="Times New Roman" w:hAnsi="Times New Roman"/>
                <w:sz w:val="21"/>
                <w:szCs w:val="21"/>
                <w:color w:val="008000"/>
                <w:vertAlign w:val="superscript"/>
              </w:rPr>
              <w:t>(6)</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Goosehead</w:t>
            </w:r>
          </w:p>
        </w:tc>
        <w:tc>
          <w:tcPr>
            <w:tcW w:w="760" w:type="dxa"/>
            <w:vAlign w:val="bottom"/>
          </w:tcPr>
          <w:p>
            <w:pPr>
              <w:ind w:left="3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600" w:type="dxa"/>
            <w:vAlign w:val="bottom"/>
            <w:gridSpan w:val="2"/>
          </w:tcPr>
          <w:p>
            <w:pPr>
              <w:jc w:val="center"/>
              <w:ind w:right="52"/>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7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2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6"/>
              </w:rPr>
              <w:t>1,766,355</w:t>
            </w:r>
          </w:p>
        </w:tc>
        <w:tc>
          <w:tcPr>
            <w:tcW w:w="680" w:type="dxa"/>
            <w:vAlign w:val="bottom"/>
          </w:tcPr>
          <w:p>
            <w:pPr>
              <w:jc w:val="center"/>
              <w:ind w:left="64"/>
              <w:spacing w:after="0" w:line="139" w:lineRule="exact"/>
              <w:rPr>
                <w:sz w:val="20"/>
                <w:szCs w:val="20"/>
                <w:color w:val="auto"/>
              </w:rPr>
            </w:pPr>
            <w:r>
              <w:rPr>
                <w:rFonts w:ascii="Times New Roman" w:cs="Times New Roman" w:eastAsia="Times New Roman" w:hAnsi="Times New Roman"/>
                <w:sz w:val="13"/>
                <w:szCs w:val="13"/>
                <w:color w:val="0000FF"/>
                <w:w w:val="91"/>
              </w:rPr>
              <w:t>I</w:t>
            </w:r>
          </w:p>
        </w:tc>
        <w:tc>
          <w:tcPr>
            <w:tcW w:w="8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Financial,</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jc w:val="center"/>
              <w:ind w:right="92"/>
              <w:spacing w:after="0"/>
              <w:rPr>
                <w:sz w:val="20"/>
                <w:szCs w:val="20"/>
                <w:color w:val="auto"/>
              </w:rPr>
            </w:pPr>
            <w:r>
              <w:rPr>
                <w:rFonts w:ascii="Times New Roman" w:cs="Times New Roman" w:eastAsia="Times New Roman" w:hAnsi="Times New Roman"/>
                <w:sz w:val="13"/>
                <w:szCs w:val="13"/>
                <w:color w:val="0000FF"/>
                <w:w w:val="94"/>
              </w:rPr>
              <w:t>Stock</w:t>
            </w: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LLC</w:t>
      </w:r>
    </w:p>
    <w:p>
      <w:pPr>
        <w:spacing w:after="0" w:line="111"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sectPr>
          <w:pgSz w:w="11900" w:h="16838" w:orient="portrait"/>
          <w:cols w:equalWidth="0" w:num="1">
            <w:col w:w="11080"/>
          </w:cols>
          <w:pgMar w:left="460" w:top="216" w:right="359" w:bottom="0" w:gutter="0" w:footer="0" w:header="0"/>
          <w:type w:val="continuous"/>
        </w:sectPr>
      </w:pP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Mark &amp; Robyn Jones Descendants Trust 2014</w:t>
        </w:r>
      </w:hyperlink>
    </w:p>
    <w:p>
      <w:pPr>
        <w:sectPr>
          <w:pgSz w:w="11900" w:h="16838" w:orient="portrait"/>
          <w:cols w:equalWidth="0" w:num="1">
            <w:col w:w="11080"/>
          </w:cols>
          <w:pgMar w:left="460" w:top="216"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7"/>
        </w:trPr>
        <w:tc>
          <w:tcPr>
            <w:tcW w:w="80" w:type="dxa"/>
            <w:vAlign w:val="bottom"/>
          </w:tcPr>
          <w:p>
            <w:pPr>
              <w:spacing w:after="0"/>
              <w:rPr>
                <w:sz w:val="14"/>
                <w:szCs w:val="14"/>
                <w:color w:val="auto"/>
              </w:rPr>
            </w:pPr>
          </w:p>
        </w:tc>
        <w:tc>
          <w:tcPr>
            <w:tcW w:w="116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600" w:type="dxa"/>
            <w:vAlign w:val="bottom"/>
            <w:gridSpan w:val="3"/>
          </w:tcPr>
          <w:p>
            <w:pPr>
              <w:ind w:left="240"/>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63"/>
        </w:trPr>
        <w:tc>
          <w:tcPr>
            <w:tcW w:w="80" w:type="dxa"/>
            <w:vAlign w:val="bottom"/>
          </w:tcPr>
          <w:p>
            <w:pPr>
              <w:spacing w:after="0"/>
              <w:rPr>
                <w:sz w:val="22"/>
                <w:szCs w:val="22"/>
                <w:color w:val="auto"/>
              </w:rPr>
            </w:pPr>
          </w:p>
        </w:tc>
        <w:tc>
          <w:tcPr>
            <w:tcW w:w="276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0000FF"/>
              </w:rPr>
              <w:t>C/O GOOSEHEAD INSURANCE, INC.</w:t>
            </w:r>
          </w:p>
        </w:tc>
        <w:tc>
          <w:tcPr>
            <w:tcW w:w="14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53"/>
        </w:trPr>
        <w:tc>
          <w:tcPr>
            <w:tcW w:w="80" w:type="dxa"/>
            <w:vAlign w:val="bottom"/>
          </w:tcPr>
          <w:p>
            <w:pPr>
              <w:spacing w:after="0"/>
              <w:rPr>
                <w:sz w:val="22"/>
                <w:szCs w:val="22"/>
                <w:color w:val="auto"/>
              </w:rPr>
            </w:pPr>
          </w:p>
        </w:tc>
        <w:tc>
          <w:tcPr>
            <w:tcW w:w="4260" w:type="dxa"/>
            <w:vAlign w:val="bottom"/>
            <w:gridSpan w:val="7"/>
          </w:tcPr>
          <w:p>
            <w:pPr>
              <w:ind w:left="20"/>
              <w:spacing w:after="0"/>
              <w:rPr>
                <w:sz w:val="20"/>
                <w:szCs w:val="20"/>
                <w:color w:val="auto"/>
              </w:rPr>
            </w:pPr>
            <w:r>
              <w:rPr>
                <w:rFonts w:ascii="Times New Roman" w:cs="Times New Roman" w:eastAsia="Times New Roman" w:hAnsi="Times New Roman"/>
                <w:sz w:val="16"/>
                <w:szCs w:val="16"/>
                <w:color w:val="0000FF"/>
              </w:rPr>
              <w:t>1500 SOLANA BLVD., BLDG 4, STE 4500</w:t>
            </w: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55"/>
        </w:trPr>
        <w:tc>
          <w:tcPr>
            <w:tcW w:w="124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25"/>
        </w:trPr>
        <w:tc>
          <w:tcPr>
            <w:tcW w:w="80" w:type="dxa"/>
            <w:vAlign w:val="bottom"/>
          </w:tcPr>
          <w:p>
            <w:pPr>
              <w:spacing w:after="0"/>
              <w:rPr>
                <w:sz w:val="19"/>
                <w:szCs w:val="19"/>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WESTLAKE</w:t>
            </w:r>
          </w:p>
        </w:tc>
        <w:tc>
          <w:tcPr>
            <w:tcW w:w="160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0000FF"/>
              </w:rPr>
              <w:t>TX</w:t>
            </w:r>
          </w:p>
        </w:tc>
        <w:tc>
          <w:tcPr>
            <w:tcW w:w="14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76262</w:t>
            </w:r>
          </w:p>
        </w:tc>
        <w:tc>
          <w:tcPr>
            <w:tcW w:w="80" w:type="dxa"/>
            <w:vAlign w:val="bottom"/>
          </w:tcPr>
          <w:p>
            <w:pPr>
              <w:spacing w:after="0"/>
              <w:rPr>
                <w:sz w:val="19"/>
                <w:szCs w:val="19"/>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93"/>
        </w:trPr>
        <w:tc>
          <w:tcPr>
            <w:tcW w:w="8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600" w:type="dxa"/>
            <w:vAlign w:val="bottom"/>
            <w:gridSpan w:val="3"/>
          </w:tcPr>
          <w:p>
            <w:pPr>
              <w:ind w:left="24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60"/>
              <w:spacing w:after="0"/>
              <w:rPr>
                <w:sz w:val="20"/>
                <w:szCs w:val="20"/>
                <w:color w:val="auto"/>
              </w:rPr>
            </w:pPr>
            <w:r>
              <w:rPr>
                <w:rFonts w:ascii="Arial" w:cs="Arial" w:eastAsia="Arial" w:hAnsi="Arial"/>
                <w:sz w:val="13"/>
                <w:szCs w:val="13"/>
                <w:color w:val="auto"/>
              </w:rPr>
              <w:t>(Zip)</w:t>
            </w:r>
          </w:p>
        </w:tc>
      </w:tr>
      <w:tr>
        <w:trPr>
          <w:trHeight w:val="79"/>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0" w:type="dxa"/>
            <w:vAlign w:val="bottom"/>
            <w:tcBorders>
              <w:bottom w:val="single" w:sz="8" w:color="2C2C2C"/>
            </w:tcBorders>
            <w:gridSpan w:val="2"/>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14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41"/>
        </w:trPr>
        <w:tc>
          <w:tcPr>
            <w:tcW w:w="28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5"/>
        </w:trPr>
        <w:tc>
          <w:tcPr>
            <w:tcW w:w="80" w:type="dxa"/>
            <w:vAlign w:val="bottom"/>
          </w:tcPr>
          <w:p>
            <w:pPr>
              <w:spacing w:after="0"/>
              <w:rPr>
                <w:sz w:val="18"/>
                <w:szCs w:val="18"/>
                <w:color w:val="auto"/>
              </w:rPr>
            </w:pPr>
          </w:p>
        </w:tc>
        <w:tc>
          <w:tcPr>
            <w:tcW w:w="2760" w:type="dxa"/>
            <w:vAlign w:val="bottom"/>
            <w:gridSpan w:val="5"/>
          </w:tcPr>
          <w:p>
            <w:pPr>
              <w:ind w:left="20"/>
              <w:spacing w:after="0" w:line="215" w:lineRule="exact"/>
              <w:rPr>
                <w:rFonts w:ascii="Times New Roman" w:cs="Times New Roman" w:eastAsia="Times New Roman" w:hAnsi="Times New Roman"/>
                <w:sz w:val="20"/>
                <w:szCs w:val="20"/>
                <w:color w:val="0000EE"/>
              </w:rPr>
            </w:pPr>
            <w:hyperlink r:id="rId15">
              <w:r>
                <w:rPr>
                  <w:rFonts w:ascii="Times New Roman" w:cs="Times New Roman" w:eastAsia="Times New Roman" w:hAnsi="Times New Roman"/>
                  <w:sz w:val="20"/>
                  <w:szCs w:val="20"/>
                  <w:color w:val="0000EE"/>
                </w:rPr>
                <w:t>Jones Mark Evan</w:t>
              </w:r>
            </w:hyperlink>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63"/>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140" w:type="dxa"/>
            <w:vAlign w:val="bottom"/>
            <w:tcBorders>
              <w:top w:val="single" w:sz="8" w:color="0000EE"/>
              <w:bottom w:val="single" w:sz="8" w:color="9A9A9A"/>
            </w:tcBorders>
          </w:tcPr>
          <w:p>
            <w:pPr>
              <w:spacing w:after="0"/>
              <w:rPr>
                <w:sz w:val="14"/>
                <w:szCs w:val="14"/>
                <w:color w:val="auto"/>
              </w:rPr>
            </w:pPr>
          </w:p>
        </w:tc>
        <w:tc>
          <w:tcPr>
            <w:tcW w:w="260" w:type="dxa"/>
            <w:vAlign w:val="bottom"/>
            <w:tcBorders>
              <w:top w:val="single" w:sz="8" w:color="0000EE"/>
              <w:bottom w:val="single" w:sz="8" w:color="9A9A9A"/>
            </w:tcBorders>
          </w:tcPr>
          <w:p>
            <w:pPr>
              <w:spacing w:after="0"/>
              <w:rPr>
                <w:sz w:val="14"/>
                <w:szCs w:val="14"/>
                <w:color w:val="auto"/>
              </w:rPr>
            </w:pPr>
          </w:p>
        </w:tc>
        <w:tc>
          <w:tcPr>
            <w:tcW w:w="940" w:type="dxa"/>
            <w:vAlign w:val="bottom"/>
            <w:tcBorders>
              <w:bottom w:val="single" w:sz="8" w:color="9A9A9A"/>
            </w:tcBorders>
          </w:tcPr>
          <w:p>
            <w:pPr>
              <w:spacing w:after="0"/>
              <w:rPr>
                <w:sz w:val="14"/>
                <w:szCs w:val="14"/>
                <w:color w:val="auto"/>
              </w:rPr>
            </w:pPr>
          </w:p>
        </w:tc>
        <w:tc>
          <w:tcPr>
            <w:tcW w:w="400" w:type="dxa"/>
            <w:vAlign w:val="bottom"/>
            <w:tcBorders>
              <w:bottom w:val="single" w:sz="8" w:color="9A9A9A"/>
            </w:tcBorders>
          </w:tcPr>
          <w:p>
            <w:pPr>
              <w:spacing w:after="0"/>
              <w:rPr>
                <w:sz w:val="14"/>
                <w:szCs w:val="14"/>
                <w:color w:val="auto"/>
              </w:rPr>
            </w:pPr>
          </w:p>
        </w:tc>
        <w:tc>
          <w:tcPr>
            <w:tcW w:w="142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r>
      <w:tr>
        <w:trPr>
          <w:trHeight w:val="293"/>
        </w:trPr>
        <w:tc>
          <w:tcPr>
            <w:tcW w:w="8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600" w:type="dxa"/>
            <w:vAlign w:val="bottom"/>
            <w:gridSpan w:val="3"/>
          </w:tcPr>
          <w:p>
            <w:pPr>
              <w:ind w:left="240"/>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63"/>
        </w:trPr>
        <w:tc>
          <w:tcPr>
            <w:tcW w:w="80" w:type="dxa"/>
            <w:vAlign w:val="bottom"/>
          </w:tcPr>
          <w:p>
            <w:pPr>
              <w:spacing w:after="0"/>
              <w:rPr>
                <w:sz w:val="22"/>
                <w:szCs w:val="22"/>
                <w:color w:val="auto"/>
              </w:rPr>
            </w:pPr>
          </w:p>
        </w:tc>
        <w:tc>
          <w:tcPr>
            <w:tcW w:w="276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0000FF"/>
              </w:rPr>
              <w:t>C/O GOOSEHEAD INSURANCE, INC.</w:t>
            </w:r>
          </w:p>
        </w:tc>
        <w:tc>
          <w:tcPr>
            <w:tcW w:w="14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53"/>
        </w:trPr>
        <w:tc>
          <w:tcPr>
            <w:tcW w:w="80" w:type="dxa"/>
            <w:vAlign w:val="bottom"/>
          </w:tcPr>
          <w:p>
            <w:pPr>
              <w:spacing w:after="0"/>
              <w:rPr>
                <w:sz w:val="22"/>
                <w:szCs w:val="22"/>
                <w:color w:val="auto"/>
              </w:rPr>
            </w:pPr>
          </w:p>
        </w:tc>
        <w:tc>
          <w:tcPr>
            <w:tcW w:w="4260" w:type="dxa"/>
            <w:vAlign w:val="bottom"/>
            <w:gridSpan w:val="7"/>
          </w:tcPr>
          <w:p>
            <w:pPr>
              <w:ind w:left="20"/>
              <w:spacing w:after="0"/>
              <w:rPr>
                <w:sz w:val="20"/>
                <w:szCs w:val="20"/>
                <w:color w:val="auto"/>
              </w:rPr>
            </w:pPr>
            <w:r>
              <w:rPr>
                <w:rFonts w:ascii="Times New Roman" w:cs="Times New Roman" w:eastAsia="Times New Roman" w:hAnsi="Times New Roman"/>
                <w:sz w:val="16"/>
                <w:szCs w:val="16"/>
                <w:color w:val="0000FF"/>
              </w:rPr>
              <w:t>1500 SOLANA BLVD., BLDG 4, STE 4500</w:t>
            </w: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55"/>
        </w:trPr>
        <w:tc>
          <w:tcPr>
            <w:tcW w:w="124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25"/>
        </w:trPr>
        <w:tc>
          <w:tcPr>
            <w:tcW w:w="80" w:type="dxa"/>
            <w:vAlign w:val="bottom"/>
          </w:tcPr>
          <w:p>
            <w:pPr>
              <w:spacing w:after="0"/>
              <w:rPr>
                <w:sz w:val="19"/>
                <w:szCs w:val="19"/>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WESTLAKE</w:t>
            </w:r>
          </w:p>
        </w:tc>
        <w:tc>
          <w:tcPr>
            <w:tcW w:w="160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0000FF"/>
              </w:rPr>
              <w:t>TX</w:t>
            </w:r>
          </w:p>
        </w:tc>
        <w:tc>
          <w:tcPr>
            <w:tcW w:w="14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76262</w:t>
            </w:r>
          </w:p>
        </w:tc>
        <w:tc>
          <w:tcPr>
            <w:tcW w:w="80" w:type="dxa"/>
            <w:vAlign w:val="bottom"/>
          </w:tcPr>
          <w:p>
            <w:pPr>
              <w:spacing w:after="0"/>
              <w:rPr>
                <w:sz w:val="19"/>
                <w:szCs w:val="19"/>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93"/>
        </w:trPr>
        <w:tc>
          <w:tcPr>
            <w:tcW w:w="8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600" w:type="dxa"/>
            <w:vAlign w:val="bottom"/>
            <w:gridSpan w:val="3"/>
          </w:tcPr>
          <w:p>
            <w:pPr>
              <w:ind w:left="24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60"/>
              <w:spacing w:after="0"/>
              <w:rPr>
                <w:sz w:val="20"/>
                <w:szCs w:val="20"/>
                <w:color w:val="auto"/>
              </w:rPr>
            </w:pPr>
            <w:r>
              <w:rPr>
                <w:rFonts w:ascii="Arial" w:cs="Arial" w:eastAsia="Arial" w:hAnsi="Arial"/>
                <w:sz w:val="13"/>
                <w:szCs w:val="13"/>
                <w:color w:val="auto"/>
              </w:rPr>
              <w:t>(Zip)</w:t>
            </w:r>
          </w:p>
        </w:tc>
      </w:tr>
      <w:tr>
        <w:trPr>
          <w:trHeight w:val="79"/>
        </w:trPr>
        <w:tc>
          <w:tcPr>
            <w:tcW w:w="100" w:type="dxa"/>
            <w:vAlign w:val="bottom"/>
            <w:tcBorders>
              <w:bottom w:val="single" w:sz="8" w:color="2C2C2C"/>
            </w:tcBorders>
            <w:gridSpan w:val="2"/>
          </w:tcPr>
          <w:p>
            <w:pPr>
              <w:spacing w:after="0"/>
              <w:rPr>
                <w:sz w:val="6"/>
                <w:szCs w:val="6"/>
                <w:color w:val="auto"/>
              </w:rPr>
            </w:pPr>
          </w:p>
        </w:tc>
        <w:tc>
          <w:tcPr>
            <w:tcW w:w="1400" w:type="dxa"/>
            <w:vAlign w:val="bottom"/>
            <w:tcBorders>
              <w:bottom w:val="single" w:sz="8" w:color="2C2C2C"/>
            </w:tcBorders>
            <w:gridSpan w:val="2"/>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14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41"/>
        </w:trPr>
        <w:tc>
          <w:tcPr>
            <w:tcW w:w="28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5"/>
        </w:trPr>
        <w:tc>
          <w:tcPr>
            <w:tcW w:w="80" w:type="dxa"/>
            <w:vAlign w:val="bottom"/>
          </w:tcPr>
          <w:p>
            <w:pPr>
              <w:spacing w:after="0"/>
              <w:rPr>
                <w:sz w:val="18"/>
                <w:szCs w:val="18"/>
                <w:color w:val="auto"/>
              </w:rPr>
            </w:pPr>
          </w:p>
        </w:tc>
        <w:tc>
          <w:tcPr>
            <w:tcW w:w="2760" w:type="dxa"/>
            <w:vAlign w:val="bottom"/>
            <w:gridSpan w:val="5"/>
          </w:tcPr>
          <w:p>
            <w:pPr>
              <w:ind w:left="20"/>
              <w:spacing w:after="0" w:line="215" w:lineRule="exact"/>
              <w:rPr>
                <w:rFonts w:ascii="Times New Roman" w:cs="Times New Roman" w:eastAsia="Times New Roman" w:hAnsi="Times New Roman"/>
                <w:sz w:val="20"/>
                <w:szCs w:val="20"/>
                <w:color w:val="0000EE"/>
              </w:rPr>
            </w:pPr>
            <w:hyperlink r:id="rId16">
              <w:r>
                <w:rPr>
                  <w:rFonts w:ascii="Times New Roman" w:cs="Times New Roman" w:eastAsia="Times New Roman" w:hAnsi="Times New Roman"/>
                  <w:sz w:val="20"/>
                  <w:szCs w:val="20"/>
                  <w:color w:val="0000EE"/>
                </w:rPr>
                <w:t>Jones Robyn Mary Elizabeth</w:t>
              </w:r>
            </w:hyperlink>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63"/>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140" w:type="dxa"/>
            <w:vAlign w:val="bottom"/>
            <w:tcBorders>
              <w:top w:val="single" w:sz="8" w:color="0000EE"/>
              <w:bottom w:val="single" w:sz="8" w:color="9A9A9A"/>
            </w:tcBorders>
          </w:tcPr>
          <w:p>
            <w:pPr>
              <w:spacing w:after="0"/>
              <w:rPr>
                <w:sz w:val="14"/>
                <w:szCs w:val="14"/>
                <w:color w:val="auto"/>
              </w:rPr>
            </w:pPr>
          </w:p>
        </w:tc>
        <w:tc>
          <w:tcPr>
            <w:tcW w:w="260" w:type="dxa"/>
            <w:vAlign w:val="bottom"/>
            <w:tcBorders>
              <w:top w:val="single" w:sz="8" w:color="0000EE"/>
              <w:bottom w:val="single" w:sz="8" w:color="9A9A9A"/>
            </w:tcBorders>
          </w:tcPr>
          <w:p>
            <w:pPr>
              <w:spacing w:after="0"/>
              <w:rPr>
                <w:sz w:val="14"/>
                <w:szCs w:val="14"/>
                <w:color w:val="auto"/>
              </w:rPr>
            </w:pPr>
          </w:p>
        </w:tc>
        <w:tc>
          <w:tcPr>
            <w:tcW w:w="940" w:type="dxa"/>
            <w:vAlign w:val="bottom"/>
            <w:tcBorders>
              <w:top w:val="single" w:sz="8" w:color="0000EE"/>
              <w:bottom w:val="single" w:sz="8" w:color="9A9A9A"/>
            </w:tcBorders>
          </w:tcPr>
          <w:p>
            <w:pPr>
              <w:spacing w:after="0"/>
              <w:rPr>
                <w:sz w:val="14"/>
                <w:szCs w:val="14"/>
                <w:color w:val="auto"/>
              </w:rPr>
            </w:pPr>
          </w:p>
        </w:tc>
        <w:tc>
          <w:tcPr>
            <w:tcW w:w="400" w:type="dxa"/>
            <w:vAlign w:val="bottom"/>
            <w:tcBorders>
              <w:bottom w:val="single" w:sz="8" w:color="9A9A9A"/>
            </w:tcBorders>
          </w:tcPr>
          <w:p>
            <w:pPr>
              <w:spacing w:after="0"/>
              <w:rPr>
                <w:sz w:val="14"/>
                <w:szCs w:val="14"/>
                <w:color w:val="auto"/>
              </w:rPr>
            </w:pPr>
          </w:p>
        </w:tc>
        <w:tc>
          <w:tcPr>
            <w:tcW w:w="142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r>
      <w:tr>
        <w:trPr>
          <w:trHeight w:val="293"/>
        </w:trPr>
        <w:tc>
          <w:tcPr>
            <w:tcW w:w="8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600" w:type="dxa"/>
            <w:vAlign w:val="bottom"/>
            <w:gridSpan w:val="3"/>
          </w:tcPr>
          <w:p>
            <w:pPr>
              <w:ind w:left="240"/>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63"/>
        </w:trPr>
        <w:tc>
          <w:tcPr>
            <w:tcW w:w="80" w:type="dxa"/>
            <w:vAlign w:val="bottom"/>
          </w:tcPr>
          <w:p>
            <w:pPr>
              <w:spacing w:after="0"/>
              <w:rPr>
                <w:sz w:val="22"/>
                <w:szCs w:val="22"/>
                <w:color w:val="auto"/>
              </w:rPr>
            </w:pPr>
          </w:p>
        </w:tc>
        <w:tc>
          <w:tcPr>
            <w:tcW w:w="276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0000FF"/>
              </w:rPr>
              <w:t>C/O GOOSEHEAD INSURANCE, INC.</w:t>
            </w:r>
          </w:p>
        </w:tc>
        <w:tc>
          <w:tcPr>
            <w:tcW w:w="14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53"/>
        </w:trPr>
        <w:tc>
          <w:tcPr>
            <w:tcW w:w="80" w:type="dxa"/>
            <w:vAlign w:val="bottom"/>
          </w:tcPr>
          <w:p>
            <w:pPr>
              <w:spacing w:after="0"/>
              <w:rPr>
                <w:sz w:val="22"/>
                <w:szCs w:val="22"/>
                <w:color w:val="auto"/>
              </w:rPr>
            </w:pPr>
          </w:p>
        </w:tc>
        <w:tc>
          <w:tcPr>
            <w:tcW w:w="4260" w:type="dxa"/>
            <w:vAlign w:val="bottom"/>
            <w:gridSpan w:val="7"/>
          </w:tcPr>
          <w:p>
            <w:pPr>
              <w:ind w:left="20"/>
              <w:spacing w:after="0"/>
              <w:rPr>
                <w:sz w:val="20"/>
                <w:szCs w:val="20"/>
                <w:color w:val="auto"/>
              </w:rPr>
            </w:pPr>
            <w:r>
              <w:rPr>
                <w:rFonts w:ascii="Times New Roman" w:cs="Times New Roman" w:eastAsia="Times New Roman" w:hAnsi="Times New Roman"/>
                <w:sz w:val="16"/>
                <w:szCs w:val="16"/>
                <w:color w:val="0000FF"/>
              </w:rPr>
              <w:t>1500 SOLANA BLVD., BLDG 4, STE 4500</w:t>
            </w: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55"/>
        </w:trPr>
        <w:tc>
          <w:tcPr>
            <w:tcW w:w="124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25"/>
        </w:trPr>
        <w:tc>
          <w:tcPr>
            <w:tcW w:w="80" w:type="dxa"/>
            <w:vAlign w:val="bottom"/>
          </w:tcPr>
          <w:p>
            <w:pPr>
              <w:spacing w:after="0"/>
              <w:rPr>
                <w:sz w:val="19"/>
                <w:szCs w:val="19"/>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WESTLAKE</w:t>
            </w:r>
          </w:p>
        </w:tc>
        <w:tc>
          <w:tcPr>
            <w:tcW w:w="160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0000FF"/>
              </w:rPr>
              <w:t>TX</w:t>
            </w:r>
          </w:p>
        </w:tc>
        <w:tc>
          <w:tcPr>
            <w:tcW w:w="14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76262</w:t>
            </w:r>
          </w:p>
        </w:tc>
        <w:tc>
          <w:tcPr>
            <w:tcW w:w="80" w:type="dxa"/>
            <w:vAlign w:val="bottom"/>
          </w:tcPr>
          <w:p>
            <w:pPr>
              <w:spacing w:after="0"/>
              <w:rPr>
                <w:sz w:val="19"/>
                <w:szCs w:val="19"/>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93"/>
        </w:trPr>
        <w:tc>
          <w:tcPr>
            <w:tcW w:w="8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600" w:type="dxa"/>
            <w:vAlign w:val="bottom"/>
            <w:gridSpan w:val="3"/>
          </w:tcPr>
          <w:p>
            <w:pPr>
              <w:ind w:left="24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60"/>
              <w:spacing w:after="0"/>
              <w:rPr>
                <w:sz w:val="20"/>
                <w:szCs w:val="20"/>
                <w:color w:val="auto"/>
              </w:rPr>
            </w:pPr>
            <w:r>
              <w:rPr>
                <w:rFonts w:ascii="Arial" w:cs="Arial" w:eastAsia="Arial" w:hAnsi="Arial"/>
                <w:sz w:val="13"/>
                <w:szCs w:val="13"/>
                <w:color w:val="auto"/>
              </w:rPr>
              <w:t>(Zip)</w:t>
            </w:r>
          </w:p>
        </w:tc>
      </w:tr>
    </w:tbl>
    <w:p>
      <w:pPr>
        <w:spacing w:after="0" w:line="1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280035</wp:posOffset>
            </wp:positionH>
            <wp:positionV relativeFrom="page">
              <wp:posOffset>88900</wp:posOffset>
            </wp:positionV>
            <wp:extent cx="2807335" cy="4700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7335" cy="4700270"/>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0"/>
          <w:szCs w:val="20"/>
          <w:color w:val="auto"/>
        </w:rPr>
      </w:pPr>
    </w:p>
    <w:p>
      <w:pPr>
        <w:jc w:val="both"/>
        <w:ind w:left="20" w:right="100" w:hanging="1"/>
        <w:spacing w:after="0" w:line="237" w:lineRule="auto"/>
        <w:tabs>
          <w:tab w:leader="none" w:pos="14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of Class A Common Stock, shares of Class B Common Stock, or LLC Units, as applicable, held (a) directly by the Mark &amp; Robyn Jones Descendants Trust 2014 and (b) indirectly by Mark Evan Jones and Robyn Mary Elizabeth Jones, who serve as trustees of the Mark &amp; Robyn Jones Descendants Trust 2014 and whose immediate family members are beneficiaries of the Mark &amp; Robyn Jones Descendants Trust 2014.</w:t>
      </w:r>
    </w:p>
    <w:p>
      <w:pPr>
        <w:spacing w:after="0" w:line="25" w:lineRule="exact"/>
        <w:rPr>
          <w:rFonts w:ascii="Times New Roman" w:cs="Times New Roman" w:eastAsia="Times New Roman" w:hAnsi="Times New Roman"/>
          <w:sz w:val="13"/>
          <w:szCs w:val="13"/>
          <w:color w:val="008000"/>
        </w:rPr>
      </w:pPr>
    </w:p>
    <w:p>
      <w:pPr>
        <w:ind w:left="140" w:hanging="121"/>
        <w:spacing w:after="0"/>
        <w:tabs>
          <w:tab w:leader="none" w:pos="14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$41.12 to $42.10, inclusive. The reporting person undertakes to provide to the</w:t>
      </w:r>
    </w:p>
    <w:p>
      <w:pPr>
        <w:spacing w:after="0" w:line="15" w:lineRule="exact"/>
        <w:rPr>
          <w:rFonts w:ascii="Times New Roman" w:cs="Times New Roman" w:eastAsia="Times New Roman" w:hAnsi="Times New Roman"/>
          <w:sz w:val="12"/>
          <w:szCs w:val="12"/>
          <w:color w:val="008000"/>
        </w:rPr>
      </w:pPr>
    </w:p>
    <w:p>
      <w:pPr>
        <w:ind w:left="20" w:right="60"/>
        <w:spacing w:after="0" w:line="232" w:lineRule="auto"/>
        <w:rPr>
          <w:rFonts w:ascii="Times New Roman" w:cs="Times New Roman" w:eastAsia="Times New Roman" w:hAnsi="Times New Roman"/>
          <w:sz w:val="12"/>
          <w:szCs w:val="12"/>
          <w:color w:val="008000"/>
        </w:rPr>
      </w:pPr>
      <w:r>
        <w:rPr>
          <w:rFonts w:ascii="Times New Roman" w:cs="Times New Roman" w:eastAsia="Times New Roman" w:hAnsi="Times New Roman"/>
          <w:sz w:val="13"/>
          <w:szCs w:val="13"/>
          <w:color w:val="008000"/>
        </w:rPr>
        <w:t>Issuer, any security holder of the Issuer, or the staff of the Securities and Exchange Commission, upon request, full information regarding the number of shares sold at each separate price within the range set forth in this footnote to this Form 4.</w:t>
      </w:r>
    </w:p>
    <w:p>
      <w:pPr>
        <w:spacing w:after="0" w:line="26" w:lineRule="exact"/>
        <w:rPr>
          <w:rFonts w:ascii="Times New Roman" w:cs="Times New Roman" w:eastAsia="Times New Roman" w:hAnsi="Times New Roman"/>
          <w:sz w:val="12"/>
          <w:szCs w:val="12"/>
          <w:color w:val="008000"/>
        </w:rPr>
      </w:pPr>
    </w:p>
    <w:p>
      <w:pPr>
        <w:ind w:left="140" w:hanging="121"/>
        <w:spacing w:after="0"/>
        <w:tabs>
          <w:tab w:leader="none" w:pos="14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$42.13 to $42.57, inclusive. The reporting person undertakes to provide to the</w:t>
      </w:r>
    </w:p>
    <w:p>
      <w:pPr>
        <w:spacing w:after="0" w:line="15" w:lineRule="exact"/>
        <w:rPr>
          <w:rFonts w:ascii="Times New Roman" w:cs="Times New Roman" w:eastAsia="Times New Roman" w:hAnsi="Times New Roman"/>
          <w:sz w:val="12"/>
          <w:szCs w:val="12"/>
          <w:color w:val="008000"/>
        </w:rPr>
      </w:pPr>
    </w:p>
    <w:p>
      <w:pPr>
        <w:ind w:left="20" w:right="60"/>
        <w:spacing w:after="0" w:line="232" w:lineRule="auto"/>
        <w:rPr>
          <w:rFonts w:ascii="Times New Roman" w:cs="Times New Roman" w:eastAsia="Times New Roman" w:hAnsi="Times New Roman"/>
          <w:sz w:val="12"/>
          <w:szCs w:val="12"/>
          <w:color w:val="008000"/>
        </w:rPr>
      </w:pPr>
      <w:r>
        <w:rPr>
          <w:rFonts w:ascii="Times New Roman" w:cs="Times New Roman" w:eastAsia="Times New Roman" w:hAnsi="Times New Roman"/>
          <w:sz w:val="13"/>
          <w:szCs w:val="13"/>
          <w:color w:val="008000"/>
        </w:rPr>
        <w:t>Issuer, any security holder of the Issuer, or the staff of the Securities and Exchange Commission, upon request, full information regarding the number of shares sold at each separate price within the range set forth in this footnote to this Form 4.</w:t>
      </w:r>
    </w:p>
    <w:p>
      <w:pPr>
        <w:spacing w:after="0" w:line="26" w:lineRule="exact"/>
        <w:rPr>
          <w:rFonts w:ascii="Times New Roman" w:cs="Times New Roman" w:eastAsia="Times New Roman" w:hAnsi="Times New Roman"/>
          <w:sz w:val="12"/>
          <w:szCs w:val="12"/>
          <w:color w:val="008000"/>
        </w:rPr>
      </w:pPr>
    </w:p>
    <w:p>
      <w:pPr>
        <w:ind w:left="20" w:hanging="1"/>
        <w:spacing w:after="0" w:line="248" w:lineRule="auto"/>
        <w:tabs>
          <w:tab w:leader="none" w:pos="14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of Class A Common Stock, shares of Class B Common Stock, or LLC Units, as applicable, held directly by Mark Evan Jones, and does not reflect shares of Class A Common Stock, shares of Class B Common Stock, or LLC Units, as applicable, held by his spouse, Robyn Mary Elizabeth Jones, who is independently a reporting person of the issuer.</w:t>
      </w:r>
    </w:p>
    <w:p>
      <w:pPr>
        <w:spacing w:after="0" w:line="20" w:lineRule="exact"/>
        <w:rPr>
          <w:rFonts w:ascii="Times New Roman" w:cs="Times New Roman" w:eastAsia="Times New Roman" w:hAnsi="Times New Roman"/>
          <w:sz w:val="13"/>
          <w:szCs w:val="13"/>
          <w:color w:val="008000"/>
        </w:rPr>
      </w:pPr>
    </w:p>
    <w:p>
      <w:pPr>
        <w:ind w:left="20" w:right="200" w:hanging="1"/>
        <w:spacing w:after="0" w:line="248" w:lineRule="auto"/>
        <w:tabs>
          <w:tab w:leader="none" w:pos="14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of Class A Common Stock, shares of Class B Common Stock, or LLC Units, as applicable, held directly by Robyn Mary Elizabeth Jones, and does not reflect shares of Class A Common Stock, shares of Class B Common Stock, or LLC Units, as applicable, held by her spouse, Mark Evan Jones, who is independently a reporting person of the issuer.</w:t>
      </w:r>
    </w:p>
    <w:p>
      <w:pPr>
        <w:spacing w:after="0" w:line="20" w:lineRule="exact"/>
        <w:rPr>
          <w:rFonts w:ascii="Times New Roman" w:cs="Times New Roman" w:eastAsia="Times New Roman" w:hAnsi="Times New Roman"/>
          <w:sz w:val="13"/>
          <w:szCs w:val="13"/>
          <w:color w:val="008000"/>
        </w:rPr>
      </w:pPr>
    </w:p>
    <w:p>
      <w:pPr>
        <w:ind w:left="20" w:right="140" w:hanging="1"/>
        <w:spacing w:after="0" w:line="248" w:lineRule="auto"/>
        <w:tabs>
          <w:tab w:leader="none" w:pos="14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of Class B Common Stock or LLC Units, as applicable, held indirectly by Mark Evan Jones and Robyn Mary Elizabeth Jones, who serve as trustees of various trusts and whose immediate family members are beneficiaries of such trusts.</w:t>
      </w:r>
    </w:p>
    <w:p>
      <w:pPr>
        <w:spacing w:after="0" w:line="20" w:lineRule="exact"/>
        <w:rPr>
          <w:rFonts w:ascii="Times New Roman" w:cs="Times New Roman" w:eastAsia="Times New Roman" w:hAnsi="Times New Roman"/>
          <w:sz w:val="13"/>
          <w:szCs w:val="13"/>
          <w:color w:val="008000"/>
        </w:rPr>
      </w:pPr>
    </w:p>
    <w:p>
      <w:pPr>
        <w:ind w:left="140" w:hanging="121"/>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LLC Unit, together with a share of Class B Common Stock, may be converted by the holder into one share of Class A Common Stock at any time. The LLC Units do not expire.</w:t>
      </w:r>
    </w:p>
    <w:p>
      <w:pPr>
        <w:sectPr>
          <w:pgSz w:w="11900" w:h="16838" w:orient="portrait"/>
          <w:cols w:equalWidth="0" w:num="1">
            <w:col w:w="10920"/>
          </w:cols>
          <w:pgMar w:left="480" w:top="291" w:right="499" w:bottom="1440" w:gutter="0" w:footer="0" w:header="0"/>
        </w:sectPr>
      </w:pPr>
    </w:p>
    <w:p>
      <w:pPr>
        <w:spacing w:after="0" w:line="4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Remarks:</w:t>
      </w:r>
    </w:p>
    <w:p>
      <w:pPr>
        <w:spacing w:after="0" w:line="13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/s/ Martin Thornthwaite,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-3810</wp:posOffset>
            </wp:positionV>
            <wp:extent cx="11379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1137920"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Attorney-in-Fact for Mark &amp;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-11430</wp:posOffset>
            </wp:positionV>
            <wp:extent cx="12103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121031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Robyn Jones Descendants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-11430</wp:posOffset>
            </wp:positionV>
            <wp:extent cx="13347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133477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-11430</wp:posOffset>
            </wp:positionV>
            <wp:extent cx="2089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208915" cy="8255"/>
                    </a:xfrm>
                    <a:prstGeom prst="rect">
                      <a:avLst/>
                    </a:prstGeom>
                    <a:noFill/>
                  </pic:spPr>
                </pic:pic>
              </a:graphicData>
            </a:graphic>
          </wp:anchor>
        </w:drawing>
      </w:r>
    </w:p>
    <w:p>
      <w:pPr>
        <w:spacing w:after="0" w:line="3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/s/ Martin Thornthwaite,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-3810</wp:posOffset>
            </wp:positionV>
            <wp:extent cx="11379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1137920"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Attorney-in-Fact for Mark Evan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-11430</wp:posOffset>
            </wp:positionV>
            <wp:extent cx="13436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134366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-11430</wp:posOffset>
            </wp:positionV>
            <wp:extent cx="2324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232410" cy="8255"/>
                    </a:xfrm>
                    <a:prstGeom prst="rect">
                      <a:avLst/>
                    </a:prstGeom>
                    <a:noFill/>
                  </pic:spPr>
                </pic:pic>
              </a:graphicData>
            </a:graphic>
          </wp:anchor>
        </w:drawing>
      </w:r>
    </w:p>
    <w:p>
      <w:pPr>
        <w:spacing w:after="0" w:line="3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/s/ Martin Thornthwaite,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-3810</wp:posOffset>
            </wp:positionV>
            <wp:extent cx="11379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1137920"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Attorney-in-Fact for Robyn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-11430</wp:posOffset>
            </wp:positionV>
            <wp:extent cx="115506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115506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Mary Elizabeth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-11430</wp:posOffset>
            </wp:positionV>
            <wp:extent cx="90551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90551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05/22/2026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wp:posOffset>
            </wp:positionV>
            <wp:extent cx="47625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476250"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05/22/2026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wp:posOffset>
            </wp:positionV>
            <wp:extent cx="47625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476250" cy="8255"/>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05/22/2026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wp:posOffset>
            </wp:positionV>
            <wp:extent cx="47625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476250" cy="8255"/>
                    </a:xfrm>
                    <a:prstGeom prst="rect">
                      <a:avLst/>
                    </a:prstGeom>
                    <a:noFill/>
                  </pic:spPr>
                </pic:pic>
              </a:graphicData>
            </a:graphic>
          </wp:anchor>
        </w:drawing>
      </w:r>
    </w:p>
    <w:p>
      <w:pPr>
        <w:spacing w:after="0" w:line="271" w:lineRule="exact"/>
        <w:rPr>
          <w:sz w:val="20"/>
          <w:szCs w:val="20"/>
          <w:color w:val="auto"/>
        </w:rPr>
      </w:pPr>
    </w:p>
    <w:p>
      <w:pPr>
        <w:sectPr>
          <w:pgSz w:w="11900" w:h="16838" w:orient="portrait"/>
          <w:cols w:equalWidth="0" w:num="2">
            <w:col w:w="8700" w:space="80"/>
            <w:col w:w="2140"/>
          </w:cols>
          <w:pgMar w:left="480" w:top="291" w:right="499" w:bottom="1440" w:gutter="0" w:footer="0" w:header="0"/>
          <w:type w:val="continuous"/>
        </w:sect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0"/>
          <w:szCs w:val="20"/>
          <w:color w:val="auto"/>
        </w:rPr>
      </w:pPr>
    </w:p>
    <w:p>
      <w:pPr>
        <w:jc w:val="both"/>
        <w:ind w:left="20" w:right="3600" w:hanging="1"/>
        <w:spacing w:after="0" w:line="330" w:lineRule="auto"/>
        <w:tabs>
          <w:tab w:leader="none" w:pos="15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20"/>
          </w:cols>
          <w:pgMar w:left="480" w:top="291" w:right="499" w:bottom="1440" w:gutter="0" w:footer="0" w:header="0"/>
          <w:type w:val="continuous"/>
        </w:sectPr>
      </w:pPr>
    </w:p>
    <w:bookmarkStart w:id="2" w:name="page3"/>
    <w:bookmarkEnd w:id="2"/>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154"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each of Martin Thornthwaite and Mark E. Jones, Jr. as the undersigned’s true and lawful attorneys-in-fact to:</w:t>
      </w:r>
    </w:p>
    <w:p>
      <w:pPr>
        <w:spacing w:after="0" w:line="151" w:lineRule="exact"/>
        <w:rPr>
          <w:sz w:val="20"/>
          <w:szCs w:val="20"/>
          <w:color w:val="auto"/>
        </w:rPr>
      </w:pPr>
    </w:p>
    <w:p>
      <w:pPr>
        <w:jc w:val="both"/>
        <w:ind w:firstLine="1"/>
        <w:spacing w:after="0" w:line="281" w:lineRule="auto"/>
        <w:tabs>
          <w:tab w:leader="none" w:pos="445"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an officer and/or member of the Board of Directors of Goosehead Insurance, Inc. (the “Company”), Forms 3, 4 and 5, including any amendments thereto, in accordance with Section 16(a) of the Securities Exchange Act of 1934 and the rules and regulations thereunder (the “Exchange Act”);</w:t>
      </w:r>
    </w:p>
    <w:p>
      <w:pPr>
        <w:spacing w:after="0" w:line="78" w:lineRule="exact"/>
        <w:rPr>
          <w:rFonts w:ascii="Times New Roman" w:cs="Times New Roman" w:eastAsia="Times New Roman" w:hAnsi="Times New Roman"/>
          <w:sz w:val="20"/>
          <w:szCs w:val="20"/>
          <w:color w:val="auto"/>
        </w:rPr>
      </w:pPr>
    </w:p>
    <w:p>
      <w:pPr>
        <w:jc w:val="both"/>
        <w:ind w:firstLine="1"/>
        <w:spacing w:after="0" w:line="281" w:lineRule="auto"/>
        <w:tabs>
          <w:tab w:leader="none" w:pos="532"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the applicable stock exchange or similar authority; and</w:t>
      </w:r>
    </w:p>
    <w:p>
      <w:pPr>
        <w:spacing w:after="0" w:line="91" w:lineRule="exact"/>
        <w:rPr>
          <w:rFonts w:ascii="Times New Roman" w:cs="Times New Roman" w:eastAsia="Times New Roman" w:hAnsi="Times New Roman"/>
          <w:sz w:val="20"/>
          <w:szCs w:val="20"/>
          <w:color w:val="auto"/>
        </w:rPr>
      </w:pPr>
    </w:p>
    <w:p>
      <w:pPr>
        <w:jc w:val="both"/>
        <w:ind w:firstLine="1"/>
        <w:spacing w:after="0" w:line="275" w:lineRule="auto"/>
        <w:tabs>
          <w:tab w:leader="none" w:pos="463"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any of such attorneys-in-fact, may be of benefit to, in the best interest of, or legally required by, the undersigned, it being understood that the documents executed by any of such attorneys-in-fact on behalf of the undersigned pursuant to this Power of Attorney shall be in such form and shall contain such terms and conditions as any of such attorneys-in-fact may approve in his discretion.</w:t>
      </w:r>
    </w:p>
    <w:p>
      <w:pPr>
        <w:spacing w:after="0" w:line="9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act separately and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9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28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xml:space="preserve"> day of April, 2026.</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Signature: /s/ Mark E. Jones</w:t>
      </w:r>
    </w:p>
    <w:p>
      <w:pPr>
        <w:spacing w:after="0" w:line="200" w:lineRule="exact"/>
        <w:rPr>
          <w:sz w:val="20"/>
          <w:szCs w:val="20"/>
          <w:color w:val="auto"/>
        </w:rPr>
      </w:pPr>
    </w:p>
    <w:p>
      <w:pPr>
        <w:spacing w:after="0" w:line="330"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color w:val="auto"/>
        </w:rPr>
        <w:t>Name:</w:t>
        <w:tab/>
        <w:t>Mark E. Jones</w:t>
      </w:r>
    </w:p>
    <w:p>
      <w:pPr>
        <w:sectPr>
          <w:pgSz w:w="11900" w:h="16838" w:orient="portrait"/>
          <w:cols w:equalWidth="0" w:num="1">
            <w:col w:w="10980"/>
          </w:cols>
          <w:pgMar w:left="460" w:top="1440" w:right="459" w:bottom="1440" w:gutter="0" w:footer="0" w:header="0"/>
        </w:sectPr>
      </w:pPr>
    </w:p>
    <w:bookmarkStart w:id="3" w:name="page4"/>
    <w:bookmarkEnd w:id="3"/>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1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Know all by these presents, that Mark E. Jones, in his capacity as attorney-in-fact of the Mark &amp; Robyn Jones Descendants Trust 2014 and all other persons, entities, and trusts subject to the Voting Agreement dated May 1, 2018 and the Second Voting Agreement dated February 24, 2021 (collectively, the “Holders”), hereby constitutes and appoints each of Martin Thornthwaite and Mark E. Jones, Jr. as the undersigned’s true and lawful attorneys-in-fact to:</w:t>
      </w:r>
    </w:p>
    <w:p>
      <w:pPr>
        <w:spacing w:after="0" w:line="183" w:lineRule="exact"/>
        <w:rPr>
          <w:sz w:val="20"/>
          <w:szCs w:val="20"/>
          <w:color w:val="auto"/>
        </w:rPr>
      </w:pPr>
    </w:p>
    <w:p>
      <w:pPr>
        <w:jc w:val="both"/>
        <w:ind w:firstLine="1"/>
        <w:spacing w:after="0" w:line="281" w:lineRule="auto"/>
        <w:tabs>
          <w:tab w:leader="none" w:pos="441"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and execute for and on behalf of the undersigned Forms 3, 4 and 5, including any amendments thereto, with respect to the securities of Goosehead Insurance, Inc. (the “Company”) in accordance with Section 16(a) of the Securities Exchange Act of 1934 and the rules and regulations thereunder (the “Exchange Act”);</w:t>
      </w:r>
    </w:p>
    <w:p>
      <w:pPr>
        <w:spacing w:after="0" w:line="91" w:lineRule="exact"/>
        <w:rPr>
          <w:rFonts w:ascii="Times New Roman" w:cs="Times New Roman" w:eastAsia="Times New Roman" w:hAnsi="Times New Roman"/>
          <w:sz w:val="20"/>
          <w:szCs w:val="20"/>
          <w:color w:val="auto"/>
        </w:rPr>
      </w:pPr>
    </w:p>
    <w:p>
      <w:pPr>
        <w:jc w:val="both"/>
        <w:ind w:firstLine="1"/>
        <w:spacing w:after="0" w:line="281" w:lineRule="auto"/>
        <w:tabs>
          <w:tab w:leader="none" w:pos="532"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the applicable stock exchange or similar authority; and</w:t>
      </w:r>
    </w:p>
    <w:p>
      <w:pPr>
        <w:spacing w:after="0" w:line="78" w:lineRule="exact"/>
        <w:rPr>
          <w:rFonts w:ascii="Times New Roman" w:cs="Times New Roman" w:eastAsia="Times New Roman" w:hAnsi="Times New Roman"/>
          <w:sz w:val="20"/>
          <w:szCs w:val="20"/>
          <w:color w:val="auto"/>
        </w:rPr>
      </w:pPr>
    </w:p>
    <w:p>
      <w:pPr>
        <w:jc w:val="both"/>
        <w:ind w:firstLine="1"/>
        <w:spacing w:after="0" w:line="275" w:lineRule="auto"/>
        <w:tabs>
          <w:tab w:leader="none" w:pos="463"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any of such attorneys-in-fact, may be of benefit to, in the best interest of, or legally required by, the undersigned, it being understood that the documents executed by any of such attorneys-in-fact on behalf of the undersigned pursuant to this Power of Attorney shall be in such form and shall contain such terms and conditions as any of such attorneys-in-fact may approve in his discretion.</w:t>
      </w:r>
    </w:p>
    <w:p>
      <w:pPr>
        <w:spacing w:after="0" w:line="9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act separately and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10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to Follow</w:t>
      </w:r>
      <w:r>
        <w:rPr>
          <w:rFonts w:ascii="Times New Roman" w:cs="Times New Roman" w:eastAsia="Times New Roman" w:hAnsi="Times New Roman"/>
          <w:sz w:val="20"/>
          <w:szCs w:val="20"/>
          <w:color w:val="auto"/>
        </w:rPr>
        <w:t>]</w:t>
      </w:r>
    </w:p>
    <w:p>
      <w:pPr>
        <w:sectPr>
          <w:pgSz w:w="11900" w:h="16838" w:orient="portrait"/>
          <w:cols w:equalWidth="0" w:num="1">
            <w:col w:w="10980"/>
          </w:cols>
          <w:pgMar w:left="460" w:top="1440" w:right="459" w:bottom="1440" w:gutter="0" w:footer="0" w:header="0"/>
        </w:sectPr>
      </w:pPr>
    </w:p>
    <w:bookmarkStart w:id="4" w:name="page5"/>
    <w:bookmarkEnd w:id="4"/>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28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xml:space="preserve"> day of April, 2026.</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Signature: /s/ Mark E. Jones</w:t>
      </w:r>
    </w:p>
    <w:p>
      <w:pPr>
        <w:spacing w:after="0" w:line="200" w:lineRule="exact"/>
        <w:rPr>
          <w:sz w:val="20"/>
          <w:szCs w:val="20"/>
          <w:color w:val="auto"/>
        </w:rPr>
      </w:pPr>
    </w:p>
    <w:p>
      <w:pPr>
        <w:spacing w:after="0" w:line="317" w:lineRule="exact"/>
        <w:rPr>
          <w:sz w:val="20"/>
          <w:szCs w:val="20"/>
          <w:color w:val="auto"/>
        </w:rPr>
      </w:pPr>
    </w:p>
    <w:p>
      <w:pPr>
        <w:spacing w:after="0"/>
        <w:tabs>
          <w:tab w:leader="none" w:pos="720" w:val="left"/>
          <w:tab w:leader="none" w:pos="2100" w:val="left"/>
        </w:tabs>
        <w:rPr>
          <w:sz w:val="20"/>
          <w:szCs w:val="20"/>
          <w:color w:val="auto"/>
        </w:rPr>
      </w:pPr>
      <w:r>
        <w:rPr>
          <w:rFonts w:ascii="Times New Roman" w:cs="Times New Roman" w:eastAsia="Times New Roman" w:hAnsi="Times New Roman"/>
          <w:sz w:val="20"/>
          <w:szCs w:val="20"/>
          <w:color w:val="auto"/>
        </w:rPr>
        <w:t>Name:</w:t>
        <w:tab/>
        <w:t>Mark E. Jones</w:t>
        <w:tab/>
        <w:t>as attorney-in-fact of the Mark &amp; Robyn Jones Descendants Trust 2014</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Signature: /s/ Mark E. Jones</w:t>
      </w:r>
    </w:p>
    <w:p>
      <w:pPr>
        <w:spacing w:after="0" w:line="200" w:lineRule="exact"/>
        <w:rPr>
          <w:sz w:val="20"/>
          <w:szCs w:val="20"/>
          <w:color w:val="auto"/>
        </w:rPr>
      </w:pPr>
    </w:p>
    <w:p>
      <w:pPr>
        <w:spacing w:after="0" w:line="317" w:lineRule="exact"/>
        <w:rPr>
          <w:sz w:val="20"/>
          <w:szCs w:val="20"/>
          <w:color w:val="auto"/>
        </w:rPr>
      </w:pPr>
    </w:p>
    <w:p>
      <w:pPr>
        <w:spacing w:after="0"/>
        <w:tabs>
          <w:tab w:leader="none" w:pos="720" w:val="left"/>
          <w:tab w:leader="none" w:pos="2100" w:val="left"/>
        </w:tabs>
        <w:rPr>
          <w:sz w:val="20"/>
          <w:szCs w:val="20"/>
          <w:color w:val="auto"/>
        </w:rPr>
      </w:pPr>
      <w:r>
        <w:rPr>
          <w:rFonts w:ascii="Times New Roman" w:cs="Times New Roman" w:eastAsia="Times New Roman" w:hAnsi="Times New Roman"/>
          <w:sz w:val="20"/>
          <w:szCs w:val="20"/>
          <w:color w:val="auto"/>
        </w:rPr>
        <w:t>Name:</w:t>
        <w:tab/>
        <w:t>Mark E. Jones</w:t>
        <w:tab/>
        <w:t>as attorney-in-fact of the Holders</w:t>
      </w:r>
    </w:p>
    <w:p>
      <w:pPr>
        <w:sectPr>
          <w:pgSz w:w="11900" w:h="16838" w:orient="portrait"/>
          <w:cols w:equalWidth="0" w:num="1">
            <w:col w:w="10320"/>
          </w:cols>
          <w:pgMar w:left="460" w:top="1440" w:right="1119" w:bottom="1440" w:gutter="0" w:footer="0" w:header="0"/>
        </w:sectPr>
      </w:pPr>
    </w:p>
    <w:bookmarkStart w:id="5" w:name="page6"/>
    <w:bookmarkEnd w:id="5"/>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154"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each of Martin Thornthwaite and Mark E. Jones, Jr. as the undersigned’s true and lawful attorneys-in-fact to:</w:t>
      </w:r>
    </w:p>
    <w:p>
      <w:pPr>
        <w:spacing w:after="0" w:line="151" w:lineRule="exact"/>
        <w:rPr>
          <w:sz w:val="20"/>
          <w:szCs w:val="20"/>
          <w:color w:val="auto"/>
        </w:rPr>
      </w:pPr>
    </w:p>
    <w:p>
      <w:pPr>
        <w:jc w:val="both"/>
        <w:ind w:firstLine="1"/>
        <w:spacing w:after="0" w:line="281" w:lineRule="auto"/>
        <w:tabs>
          <w:tab w:leader="none" w:pos="445"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an officer and/or member of the Board of Directors of Goosehead Insurance, Inc. (the “Company”), Forms 3, 4 and 5, including any amendments thereto, in accordance with Section 16(a) of the Securities Exchange Act of 1934 and the rules and regulations thereunder (the “Exchange Act”);</w:t>
      </w:r>
    </w:p>
    <w:p>
      <w:pPr>
        <w:spacing w:after="0" w:line="78" w:lineRule="exact"/>
        <w:rPr>
          <w:rFonts w:ascii="Times New Roman" w:cs="Times New Roman" w:eastAsia="Times New Roman" w:hAnsi="Times New Roman"/>
          <w:sz w:val="20"/>
          <w:szCs w:val="20"/>
          <w:color w:val="auto"/>
        </w:rPr>
      </w:pPr>
    </w:p>
    <w:p>
      <w:pPr>
        <w:jc w:val="both"/>
        <w:ind w:firstLine="1"/>
        <w:spacing w:after="0" w:line="281" w:lineRule="auto"/>
        <w:tabs>
          <w:tab w:leader="none" w:pos="532"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the applicable stock exchange or similar authority; and</w:t>
      </w:r>
    </w:p>
    <w:p>
      <w:pPr>
        <w:spacing w:after="0" w:line="91" w:lineRule="exact"/>
        <w:rPr>
          <w:rFonts w:ascii="Times New Roman" w:cs="Times New Roman" w:eastAsia="Times New Roman" w:hAnsi="Times New Roman"/>
          <w:sz w:val="20"/>
          <w:szCs w:val="20"/>
          <w:color w:val="auto"/>
        </w:rPr>
      </w:pPr>
    </w:p>
    <w:p>
      <w:pPr>
        <w:jc w:val="both"/>
        <w:ind w:firstLine="1"/>
        <w:spacing w:after="0" w:line="275" w:lineRule="auto"/>
        <w:tabs>
          <w:tab w:leader="none" w:pos="463"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any of such attorneys-in-fact, may be of benefit to, in the best interest of, or legally required by, the undersigned, it being understood that the documents executed by any of such attorneys-in-fact on behalf of the undersigned pursuant to this Power of Attorney shall be in such form and shall contain such terms and conditions as any of such attorneys-in-fact may approve in his discretion.</w:t>
      </w:r>
    </w:p>
    <w:p>
      <w:pPr>
        <w:spacing w:after="0" w:line="9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act separately and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9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28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xml:space="preserve"> day of April, 2026.</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Signature: /s/ Robyn Jones</w:t>
      </w:r>
    </w:p>
    <w:p>
      <w:pPr>
        <w:spacing w:after="0" w:line="200" w:lineRule="exact"/>
        <w:rPr>
          <w:sz w:val="20"/>
          <w:szCs w:val="20"/>
          <w:color w:val="auto"/>
        </w:rPr>
      </w:pPr>
    </w:p>
    <w:p>
      <w:pPr>
        <w:spacing w:after="0" w:line="330"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color w:val="auto"/>
        </w:rPr>
        <w:t>Name:</w:t>
        <w:tab/>
        <w:t>Robyn Jones</w:t>
      </w:r>
    </w:p>
    <w:sectPr>
      <w:pgSz w:w="11900" w:h="16838" w:orient="portrait"/>
      <w:cols w:equalWidth="0" w:num="1">
        <w:col w:w="10980"/>
      </w:cols>
      <w:pgMar w:left="460" w:top="144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13" Type="http://schemas.openxmlformats.org/officeDocument/2006/relationships/hyperlink" Target="http://www.sec.gov/cgi-bin/browse-edgar?action=getcompany&amp;CIK=0001736769" TargetMode="External"/><Relationship Id="rId14" Type="http://schemas.openxmlformats.org/officeDocument/2006/relationships/hyperlink" Target="http://www.sec.gov/cgi-bin/browse-edgar?action=getcompany&amp;CIK=0001726978" TargetMode="External"/><Relationship Id="rId15" Type="http://schemas.openxmlformats.org/officeDocument/2006/relationships/hyperlink" Target="http://www.sec.gov/cgi-bin/browse-edgar?action=getcompany&amp;CIK=0001736768" TargetMode="External"/><Relationship Id="rId16" Type="http://schemas.openxmlformats.org/officeDocument/2006/relationships/hyperlink" Target="http://www.sec.gov/cgi-bin/browse-edgar?action=getcompany&amp;CIK=00017375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2026-05-22T16:39:47Z</dcterms:created>
  <dcterms:modified xsi:type="dcterms:W3CDTF">2026-05-22T16:39:47Z</dcterms:modified>
</cp:coreProperties>
</file>