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jc w:val="center"/>
        <w:ind w:right="-59"/>
        <w:spacing w:after="0" w:line="219" w:lineRule="auto"/>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line="185" w:lineRule="auto"/>
        <w:rPr>
          <w:sz w:val="20"/>
          <w:szCs w:val="20"/>
          <w:color w:val="auto"/>
        </w:rPr>
      </w:pPr>
      <w:r>
        <w:rPr>
          <w:rFonts w:ascii="Arial" w:cs="Arial" w:eastAsia="Arial" w:hAnsi="Arial"/>
          <w:sz w:val="18"/>
          <w:szCs w:val="18"/>
          <w:b w:val="1"/>
          <w:bCs w:val="1"/>
          <w:color w:val="auto"/>
        </w:rPr>
        <w:t>Washington, D.C. 20549</w:t>
      </w:r>
    </w:p>
    <w:p>
      <w:pPr>
        <w:jc w:val="center"/>
        <w:spacing w:after="0" w:line="215" w:lineRule="auto"/>
        <w:rPr>
          <w:sz w:val="20"/>
          <w:szCs w:val="20"/>
          <w:color w:val="auto"/>
        </w:rPr>
      </w:pPr>
      <w:r>
        <w:rPr>
          <w:rFonts w:ascii="Arial" w:cs="Arial" w:eastAsia="Arial" w:hAnsi="Arial"/>
          <w:sz w:val="29"/>
          <w:szCs w:val="29"/>
          <w:b w:val="1"/>
          <w:bCs w:val="1"/>
          <w:color w:val="auto"/>
        </w:rPr>
        <w:t>FORM 10-Q/A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(Mark One)</w:t>
      </w:r>
    </w:p>
    <w:p>
      <w:pPr>
        <w:spacing w:after="0" w:line="46"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2022</w:t>
      </w: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For the transition period from _______ to ______</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Commission file number: 001-38466</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360" w:type="dxa"/>
            <w:vAlign w:val="bottom"/>
            <w:gridSpan w:val="5"/>
          </w:tcPr>
          <w:p>
            <w:pPr>
              <w:spacing w:after="0"/>
              <w:rPr>
                <w:sz w:val="20"/>
                <w:szCs w:val="20"/>
                <w:color w:val="auto"/>
              </w:rPr>
            </w:pPr>
            <w:r>
              <w:rPr>
                <w:rFonts w:ascii="Arial" w:cs="Arial" w:eastAsia="Arial" w:hAnsi="Arial"/>
                <w:sz w:val="32"/>
                <w:szCs w:val="32"/>
                <w:b w:val="1"/>
                <w:bCs w:val="1"/>
                <w:color w:val="auto"/>
              </w:rPr>
              <w:t>GOOSEHEAD INSURANCE, INC.</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8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(Exact name of registrant as specified in its charter)</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60" w:type="dxa"/>
            <w:vAlign w:val="bottom"/>
          </w:tcPr>
          <w:p>
            <w:pPr>
              <w:spacing w:after="0"/>
              <w:rPr>
                <w:sz w:val="20"/>
                <w:szCs w:val="20"/>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20" w:type="dxa"/>
            <w:vAlign w:val="bottom"/>
          </w:tcPr>
          <w:p>
            <w:pPr>
              <w:jc w:val="right"/>
              <w:ind w:right="1563"/>
              <w:spacing w:after="0"/>
              <w:rPr>
                <w:sz w:val="20"/>
                <w:szCs w:val="20"/>
                <w:color w:val="auto"/>
              </w:rPr>
            </w:pPr>
            <w:r>
              <w:rPr>
                <w:rFonts w:ascii="Arial" w:cs="Arial" w:eastAsia="Arial" w:hAnsi="Arial"/>
                <w:sz w:val="16"/>
                <w:szCs w:val="16"/>
                <w:b w:val="1"/>
                <w:bCs w:val="1"/>
                <w:color w:val="auto"/>
              </w:rPr>
              <w:t>82-3886022</w:t>
            </w:r>
          </w:p>
        </w:tc>
        <w:tc>
          <w:tcPr>
            <w:tcW w:w="0" w:type="dxa"/>
            <w:vAlign w:val="bottom"/>
          </w:tcPr>
          <w:p>
            <w:pPr>
              <w:spacing w:after="0"/>
              <w:rPr>
                <w:sz w:val="1"/>
                <w:szCs w:val="1"/>
                <w:color w:val="auto"/>
              </w:rPr>
            </w:pPr>
          </w:p>
        </w:tc>
      </w:tr>
      <w:tr>
        <w:trPr>
          <w:trHeight w:val="141"/>
        </w:trPr>
        <w:tc>
          <w:tcPr>
            <w:tcW w:w="1960" w:type="dxa"/>
            <w:vAlign w:val="bottom"/>
          </w:tcPr>
          <w:p>
            <w:pPr>
              <w:spacing w:after="0"/>
              <w:rPr>
                <w:sz w:val="12"/>
                <w:szCs w:val="12"/>
                <w:color w:val="auto"/>
              </w:rPr>
            </w:pPr>
          </w:p>
        </w:tc>
        <w:tc>
          <w:tcPr>
            <w:tcW w:w="182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5"/>
              </w:rPr>
              <w:t>(State or other jurisdiction of</w:t>
            </w: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20" w:type="dxa"/>
            <w:vAlign w:val="bottom"/>
          </w:tcPr>
          <w:p>
            <w:pPr>
              <w:jc w:val="center"/>
              <w:ind w:right="1183"/>
              <w:spacing w:after="0" w:line="141"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3780" w:type="dxa"/>
            <w:vAlign w:val="bottom"/>
            <w:gridSpan w:val="3"/>
          </w:tcPr>
          <w:p>
            <w:pPr>
              <w:jc w:val="center"/>
              <w:ind w:left="1783"/>
              <w:spacing w:after="0"/>
              <w:rPr>
                <w:sz w:val="20"/>
                <w:szCs w:val="20"/>
                <w:color w:val="auto"/>
              </w:rPr>
            </w:pPr>
            <w:r>
              <w:rPr>
                <w:rFonts w:ascii="Arial" w:cs="Arial" w:eastAsia="Arial" w:hAnsi="Arial"/>
                <w:sz w:val="14"/>
                <w:szCs w:val="14"/>
                <w:color w:val="auto"/>
                <w:w w:val="94"/>
              </w:rPr>
              <w:t>incorporation or organization)</w:t>
            </w: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20" w:type="dxa"/>
            <w:vAlign w:val="bottom"/>
          </w:tcPr>
          <w:p>
            <w:pPr>
              <w:jc w:val="center"/>
              <w:ind w:right="1183"/>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182"/>
        </w:trPr>
        <w:tc>
          <w:tcPr>
            <w:tcW w:w="7660" w:type="dxa"/>
            <w:vAlign w:val="bottom"/>
            <w:gridSpan w:val="6"/>
          </w:tcPr>
          <w:p>
            <w:pPr>
              <w:jc w:val="center"/>
              <w:ind w:right="2020"/>
              <w:spacing w:after="0" w:line="182" w:lineRule="exact"/>
              <w:rPr>
                <w:sz w:val="20"/>
                <w:szCs w:val="20"/>
                <w:color w:val="auto"/>
              </w:rPr>
            </w:pPr>
            <w:r>
              <w:rPr>
                <w:rFonts w:ascii="Arial" w:cs="Arial" w:eastAsia="Arial" w:hAnsi="Arial"/>
                <w:sz w:val="16"/>
                <w:szCs w:val="16"/>
                <w:b w:val="1"/>
                <w:bCs w:val="1"/>
                <w:color w:val="auto"/>
                <w:w w:val="91"/>
              </w:rPr>
              <w:t>1500 Solana Blvd, Building 4, Suite 4500</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8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Westlake</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20" w:type="dxa"/>
            <w:vAlign w:val="bottom"/>
            <w:vMerge w:val="restart"/>
          </w:tcPr>
          <w:p>
            <w:pPr>
              <w:jc w:val="right"/>
              <w:ind w:right="1763"/>
              <w:spacing w:after="0"/>
              <w:rPr>
                <w:sz w:val="20"/>
                <w:szCs w:val="20"/>
                <w:color w:val="auto"/>
              </w:rPr>
            </w:pPr>
            <w:r>
              <w:rPr>
                <w:rFonts w:ascii="Arial" w:cs="Arial" w:eastAsia="Arial" w:hAnsi="Arial"/>
                <w:sz w:val="16"/>
                <w:szCs w:val="16"/>
                <w:b w:val="1"/>
                <w:bCs w:val="1"/>
                <w:color w:val="auto"/>
              </w:rPr>
              <w:t>76262</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Texas</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60" w:type="dxa"/>
            <w:vAlign w:val="bottom"/>
            <w:gridSpan w:val="6"/>
          </w:tcPr>
          <w:p>
            <w:pPr>
              <w:jc w:val="center"/>
              <w:ind w:right="2020"/>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tcPr>
          <w:p>
            <w:pPr>
              <w:jc w:val="center"/>
              <w:ind w:right="118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42"/>
        </w:trPr>
        <w:tc>
          <w:tcPr>
            <w:tcW w:w="19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0" w:type="dxa"/>
            <w:vAlign w:val="bottom"/>
            <w:gridSpan w:val="2"/>
          </w:tcPr>
          <w:p>
            <w:pPr>
              <w:jc w:val="center"/>
              <w:ind w:left="764"/>
              <w:spacing w:after="0"/>
              <w:rPr>
                <w:sz w:val="20"/>
                <w:szCs w:val="20"/>
                <w:color w:val="auto"/>
              </w:rPr>
            </w:pPr>
            <w:r>
              <w:rPr>
                <w:rFonts w:ascii="Arial" w:cs="Arial" w:eastAsia="Arial" w:hAnsi="Arial"/>
                <w:sz w:val="16"/>
                <w:szCs w:val="16"/>
                <w:b w:val="1"/>
                <w:bCs w:val="1"/>
                <w:color w:val="auto"/>
                <w:w w:val="91"/>
              </w:rPr>
              <w:t>(469) 480-3669</w:t>
            </w:r>
          </w:p>
        </w:tc>
        <w:tc>
          <w:tcPr>
            <w:tcW w:w="10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gridSpan w:val="3"/>
          </w:tcPr>
          <w:p>
            <w:pPr>
              <w:jc w:val="center"/>
              <w:ind w:right="200"/>
              <w:spacing w:after="0" w:line="148" w:lineRule="exact"/>
              <w:rPr>
                <w:sz w:val="20"/>
                <w:szCs w:val="20"/>
                <w:color w:val="auto"/>
              </w:rPr>
            </w:pPr>
            <w:r>
              <w:rPr>
                <w:rFonts w:ascii="Arial" w:cs="Arial" w:eastAsia="Arial" w:hAnsi="Arial"/>
                <w:sz w:val="14"/>
                <w:szCs w:val="14"/>
                <w:color w:val="auto"/>
                <w:w w:val="92"/>
              </w:rPr>
              <w:t>(Registrant's telephone number, including area code)</w:t>
            </w: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8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w w:val="91"/>
              </w:rPr>
              <w:t>Not applicable</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80" w:type="dxa"/>
            <w:vAlign w:val="bottom"/>
            <w:gridSpan w:val="3"/>
          </w:tcPr>
          <w:p>
            <w:pPr>
              <w:jc w:val="center"/>
              <w:ind w:right="180"/>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37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4"/>
                <w:szCs w:val="14"/>
                <w:b w:val="1"/>
                <w:bCs w:val="1"/>
                <w:color w:val="auto"/>
                <w:w w:val="91"/>
              </w:rPr>
              <w:t>Title of Each Class</w:t>
            </w:r>
          </w:p>
        </w:tc>
        <w:tc>
          <w:tcPr>
            <w:tcW w:w="660" w:type="dxa"/>
            <w:vAlign w:val="bottom"/>
          </w:tcPr>
          <w:p>
            <w:pPr>
              <w:spacing w:after="0"/>
              <w:rPr>
                <w:sz w:val="13"/>
                <w:szCs w:val="13"/>
                <w:color w:val="auto"/>
              </w:rPr>
            </w:pPr>
          </w:p>
        </w:tc>
        <w:tc>
          <w:tcPr>
            <w:tcW w:w="388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80" w:type="dxa"/>
            <w:vAlign w:val="bottom"/>
            <w:gridSpan w:val="3"/>
          </w:tcPr>
          <w:p>
            <w:pPr>
              <w:ind w:left="20"/>
              <w:spacing w:after="0"/>
              <w:rPr>
                <w:sz w:val="20"/>
                <w:szCs w:val="20"/>
                <w:color w:val="auto"/>
              </w:rPr>
            </w:pPr>
            <w:r>
              <w:rPr>
                <w:rFonts w:ascii="Arial" w:cs="Arial" w:eastAsia="Arial" w:hAnsi="Arial"/>
                <w:sz w:val="18"/>
                <w:szCs w:val="18"/>
                <w:color w:val="auto"/>
                <w:w w:val="94"/>
              </w:rPr>
              <w:t>Class A Common Stock, par value $.01 per share</w:t>
            </w:r>
          </w:p>
        </w:tc>
        <w:tc>
          <w:tcPr>
            <w:tcW w:w="1660" w:type="dxa"/>
            <w:vAlign w:val="bottom"/>
          </w:tcPr>
          <w:p>
            <w:pPr>
              <w:spacing w:after="0"/>
              <w:rPr>
                <w:sz w:val="22"/>
                <w:szCs w:val="22"/>
                <w:color w:val="auto"/>
              </w:rPr>
            </w:pPr>
          </w:p>
        </w:tc>
        <w:tc>
          <w:tcPr>
            <w:tcW w:w="2220" w:type="dxa"/>
            <w:vAlign w:val="bottom"/>
            <w:gridSpan w:val="2"/>
          </w:tcPr>
          <w:p>
            <w:pPr>
              <w:jc w:val="center"/>
              <w:ind w:right="1080"/>
              <w:spacing w:after="0"/>
              <w:rPr>
                <w:sz w:val="20"/>
                <w:szCs w:val="20"/>
                <w:color w:val="auto"/>
              </w:rPr>
            </w:pPr>
            <w:r>
              <w:rPr>
                <w:rFonts w:ascii="Arial" w:cs="Arial" w:eastAsia="Arial" w:hAnsi="Arial"/>
                <w:sz w:val="18"/>
                <w:szCs w:val="18"/>
                <w:color w:val="auto"/>
                <w:w w:val="96"/>
              </w:rPr>
              <w:t>GSHD</w:t>
            </w:r>
          </w:p>
        </w:tc>
        <w:tc>
          <w:tcPr>
            <w:tcW w:w="282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0" w:type="dxa"/>
            <w:vAlign w:val="bottom"/>
          </w:tcPr>
          <w:p>
            <w:pPr>
              <w:spacing w:after="0"/>
              <w:rPr>
                <w:sz w:val="1"/>
                <w:szCs w:val="1"/>
                <w:color w:val="auto"/>
              </w:rPr>
            </w:pPr>
          </w:p>
        </w:tc>
      </w:tr>
    </w:tbl>
    <w:p>
      <w:pPr>
        <w:spacing w:after="0" w:line="305" w:lineRule="exact"/>
        <w:rPr>
          <w:sz w:val="24"/>
          <w:szCs w:val="24"/>
          <w:color w:val="auto"/>
        </w:rPr>
      </w:pPr>
    </w:p>
    <w:p>
      <w:pPr>
        <w:ind w:right="160"/>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73" w:lineRule="exact"/>
        <w:rPr>
          <w:sz w:val="24"/>
          <w:szCs w:val="24"/>
          <w:color w:val="auto"/>
        </w:rPr>
      </w:pPr>
    </w:p>
    <w:p>
      <w:pPr>
        <w:spacing w:after="0" w:line="23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20" w:hanging="176"/>
        <w:spacing w:after="0" w:line="184" w:lineRule="exact"/>
        <w:tabs>
          <w:tab w:leader="none" w:pos="220" w:val="left"/>
        </w:tabs>
        <w:numPr>
          <w:ilvl w:val="0"/>
          <w:numId w:val="3"/>
        </w:numPr>
        <w:rPr>
          <w:rFonts w:ascii="MS PGothic" w:cs="MS PGothic" w:eastAsia="MS PGothic" w:hAnsi="MS PGothic"/>
          <w:sz w:val="16"/>
          <w:szCs w:val="16"/>
          <w:color w:val="auto"/>
        </w:rPr>
      </w:pPr>
      <w:r>
        <w:rPr>
          <w:rFonts w:ascii="Arial" w:cs="Arial" w:eastAsia="Arial" w:hAnsi="Arial"/>
          <w:sz w:val="14"/>
          <w:szCs w:val="14"/>
          <w:color w:val="auto"/>
        </w:rPr>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204" w:lineRule="exact"/>
        <w:rPr>
          <w:sz w:val="24"/>
          <w:szCs w:val="24"/>
          <w:color w:val="auto"/>
        </w:rPr>
      </w:pPr>
    </w:p>
    <w:p>
      <w:pPr>
        <w:ind w:right="4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3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300"/>
              <w:spacing w:after="0"/>
              <w:rPr>
                <w:sz w:val="20"/>
                <w:szCs w:val="20"/>
                <w:color w:val="auto"/>
              </w:rPr>
            </w:pPr>
            <w:r>
              <w:rPr>
                <w:rFonts w:ascii="Arial" w:cs="Arial" w:eastAsia="Arial" w:hAnsi="Arial"/>
                <w:sz w:val="14"/>
                <w:szCs w:val="14"/>
                <w:color w:val="auto"/>
              </w:rPr>
              <w:t>Accelerated filer</w:t>
            </w:r>
          </w:p>
        </w:tc>
        <w:tc>
          <w:tcPr>
            <w:tcW w:w="2060" w:type="dxa"/>
            <w:vAlign w:val="bottom"/>
          </w:tcPr>
          <w:p>
            <w:pPr>
              <w:ind w:left="19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3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rPr>
              <w:t>☐</w:t>
            </w:r>
          </w:p>
        </w:tc>
        <w:tc>
          <w:tcPr>
            <w:tcW w:w="3760" w:type="dxa"/>
            <w:vAlign w:val="bottom"/>
          </w:tcPr>
          <w:p>
            <w:pPr>
              <w:ind w:left="300"/>
              <w:spacing w:after="0"/>
              <w:rPr>
                <w:sz w:val="20"/>
                <w:szCs w:val="20"/>
                <w:color w:val="auto"/>
              </w:rPr>
            </w:pPr>
            <w:r>
              <w:rPr>
                <w:rFonts w:ascii="Arial" w:cs="Arial" w:eastAsia="Arial" w:hAnsi="Arial"/>
                <w:sz w:val="14"/>
                <w:szCs w:val="14"/>
                <w:color w:val="auto"/>
              </w:rPr>
              <w:t>Smaller reporting company</w:t>
            </w:r>
          </w:p>
        </w:tc>
        <w:tc>
          <w:tcPr>
            <w:tcW w:w="2060" w:type="dxa"/>
            <w:vAlign w:val="bottom"/>
          </w:tcPr>
          <w:p>
            <w:pPr>
              <w:ind w:left="19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30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760" w:type="dxa"/>
            <w:vAlign w:val="bottom"/>
          </w:tcPr>
          <w:p>
            <w:pPr>
              <w:ind w:left="300"/>
              <w:spacing w:after="0"/>
              <w:rPr>
                <w:sz w:val="20"/>
                <w:szCs w:val="20"/>
                <w:color w:val="auto"/>
              </w:rPr>
            </w:pPr>
            <w:r>
              <w:rPr>
                <w:rFonts w:ascii="Arial" w:cs="Arial" w:eastAsia="Arial" w:hAnsi="Arial"/>
                <w:sz w:val="14"/>
                <w:szCs w:val="14"/>
                <w:color w:val="auto"/>
              </w:rPr>
              <w:t>Emerging growth company</w:t>
            </w:r>
          </w:p>
        </w:tc>
        <w:tc>
          <w:tcPr>
            <w:tcW w:w="2060" w:type="dxa"/>
            <w:vAlign w:val="bottom"/>
          </w:tcPr>
          <w:p>
            <w:pPr>
              <w:ind w:left="19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0" w:lineRule="exact"/>
        <w:rPr>
          <w:sz w:val="24"/>
          <w:szCs w:val="24"/>
          <w:color w:val="auto"/>
        </w:rPr>
      </w:pPr>
    </w:p>
    <w:p>
      <w:pPr>
        <w:ind w:right="500"/>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218" w:lineRule="exact"/>
        <w:rPr>
          <w:sz w:val="24"/>
          <w:szCs w:val="24"/>
          <w:color w:val="auto"/>
        </w:rPr>
      </w:pPr>
    </w:p>
    <w:p>
      <w:pPr>
        <w:ind w:right="3000"/>
        <w:spacing w:after="0" w:line="253" w:lineRule="auto"/>
        <w:rPr>
          <w:sz w:val="20"/>
          <w:szCs w:val="20"/>
          <w:color w:val="auto"/>
        </w:rPr>
      </w:pPr>
      <w:r>
        <w:rPr>
          <w:rFonts w:ascii="Arial" w:cs="Arial" w:eastAsia="Arial" w:hAnsi="Arial"/>
          <w:sz w:val="14"/>
          <w:szCs w:val="14"/>
          <w:color w:val="auto"/>
        </w:rPr>
        <w:t>As of October 26, 2022, there were 21,147,289 shares of Class A common stock outstanding and 16,201,948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this Amendment (the “Amendment”) to our Form 10-Q for the quarter ended September 30, 2022 (the “Original Form 10-Q”), as filed with</w:t>
      </w:r>
    </w:p>
    <w:p>
      <w:pPr>
        <w:spacing w:after="0" w:line="2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the Securities and Exchange Commission (the “SEC”) on October 27, 2022, is solely to amend Exhibit 32 to reflect that Mark E. Jones, Jr. was the Chief Financial Officer at the time of filing of the Original Form 10-Q.</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This Amendment contains only the Cover Page, this Explanatory Note, Item 6 of Part II, the Signature Page and the certifications attached to this</w:t>
      </w:r>
    </w:p>
    <w:p>
      <w:pPr>
        <w:spacing w:after="0" w:line="10"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Amendment as Exhibit 32. No other changes have been made to the Original Form 10-Q as filed with the SEC on October 27, 2022. This Amendment speaks as of the original filing date of the Original Form 10-Q, does not reflect events that may have occurred subsequent to the original filing date, and does not modify or update in any way disclosures made in the Original Form 10-Q. Accordingly, this Amendment should be read in conjunction with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Original Form 10-Q and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84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vMerge w:val="restart"/>
          </w:tcPr>
          <w:p>
            <w:pPr>
              <w:spacing w:after="0"/>
              <w:rPr>
                <w:rFonts w:ascii="Arial" w:cs="Arial" w:eastAsia="Arial" w:hAnsi="Arial"/>
                <w:sz w:val="18"/>
                <w:szCs w:val="18"/>
                <w:color w:val="0000FF"/>
              </w:rPr>
            </w:pPr>
            <w:hyperlink r:id="rId9">
              <w:r>
                <w:rPr>
                  <w:rFonts w:ascii="Arial" w:cs="Arial" w:eastAsia="Arial" w:hAnsi="Arial"/>
                  <w:sz w:val="18"/>
                  <w:szCs w:val="18"/>
                  <w:color w:val="0000FF"/>
                </w:rPr>
                <w:t>Exhibit 10.1</w:t>
              </w:r>
            </w:hyperlink>
          </w:p>
        </w:tc>
        <w:tc>
          <w:tcPr>
            <w:tcW w:w="7580" w:type="dxa"/>
            <w:vAlign w:val="bottom"/>
            <w:tcBorders>
              <w:bottom w:val="single" w:sz="8" w:color="0000FF"/>
            </w:tcBorders>
            <w:gridSpan w:val="5"/>
          </w:tcPr>
          <w:p>
            <w:pPr>
              <w:spacing w:after="0"/>
              <w:rPr>
                <w:rFonts w:ascii="Arial" w:cs="Arial" w:eastAsia="Arial" w:hAnsi="Arial"/>
                <w:sz w:val="18"/>
                <w:szCs w:val="18"/>
                <w:color w:val="0000FF"/>
                <w:w w:val="90"/>
              </w:rPr>
            </w:pPr>
            <w:hyperlink r:id="rId9">
              <w:r>
                <w:rPr>
                  <w:rFonts w:ascii="Arial" w:cs="Arial" w:eastAsia="Arial" w:hAnsi="Arial"/>
                  <w:sz w:val="18"/>
                  <w:szCs w:val="18"/>
                  <w:color w:val="0000FF"/>
                  <w:w w:val="90"/>
                </w:rPr>
                <w:t>Offer Letter to Mark E. Jones, Jr., dated September 11, 2022 (incorporated by reference to exhibit 10.1 to</w:t>
              </w:r>
            </w:hyperlink>
          </w:p>
        </w:tc>
        <w:tc>
          <w:tcPr>
            <w:tcW w:w="8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gridSpan w:val="3"/>
            <w:vMerge w:val="continue"/>
          </w:tcPr>
          <w:p>
            <w:pPr>
              <w:spacing w:after="0"/>
              <w:rPr>
                <w:sz w:val="13"/>
                <w:szCs w:val="13"/>
                <w:color w:val="auto"/>
              </w:rPr>
            </w:pPr>
          </w:p>
        </w:tc>
        <w:tc>
          <w:tcPr>
            <w:tcW w:w="8400" w:type="dxa"/>
            <w:vAlign w:val="bottom"/>
            <w:gridSpan w:val="9"/>
          </w:tcPr>
          <w:p>
            <w:pPr>
              <w:spacing w:after="0" w:line="142" w:lineRule="exact"/>
              <w:rPr>
                <w:rFonts w:ascii="Arial" w:cs="Arial" w:eastAsia="Arial" w:hAnsi="Arial"/>
                <w:sz w:val="16"/>
                <w:szCs w:val="16"/>
                <w:color w:val="0000FF"/>
              </w:rPr>
            </w:pPr>
            <w:hyperlink r:id="rId9">
              <w:r>
                <w:rPr>
                  <w:rFonts w:ascii="Arial" w:cs="Arial" w:eastAsia="Arial" w:hAnsi="Arial"/>
                  <w:sz w:val="16"/>
                  <w:szCs w:val="16"/>
                  <w:color w:val="0000FF"/>
                </w:rPr>
                <w:t>Goosehead Insurance Inc.'s Current Report on Form 8-K filed with the Commission on September 12,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3"/>
            <w:vMerge w:val="restart"/>
          </w:tcPr>
          <w:p>
            <w:pPr>
              <w:spacing w:after="0"/>
              <w:rPr>
                <w:rFonts w:ascii="Arial" w:cs="Arial" w:eastAsia="Arial" w:hAnsi="Arial"/>
                <w:sz w:val="18"/>
                <w:szCs w:val="18"/>
                <w:color w:val="0000FF"/>
              </w:rPr>
            </w:pPr>
            <w:hyperlink r:id="rId10">
              <w:r>
                <w:rPr>
                  <w:rFonts w:ascii="Arial" w:cs="Arial" w:eastAsia="Arial" w:hAnsi="Arial"/>
                  <w:sz w:val="18"/>
                  <w:szCs w:val="18"/>
                  <w:color w:val="0000FF"/>
                </w:rPr>
                <w:t>Exhibit 10.2</w:t>
              </w:r>
            </w:hyperlink>
            <w:r>
              <w:rPr>
                <w:rFonts w:ascii="Arial" w:cs="Arial" w:eastAsia="Arial" w:hAnsi="Arial"/>
                <w:sz w:val="18"/>
                <w:szCs w:val="18"/>
                <w:color w:val="000000"/>
              </w:rPr>
              <w:t>**</w:t>
            </w:r>
          </w:p>
        </w:tc>
        <w:tc>
          <w:tcPr>
            <w:tcW w:w="8400" w:type="dxa"/>
            <w:vAlign w:val="bottom"/>
            <w:gridSpan w:val="9"/>
          </w:tcPr>
          <w:p>
            <w:pPr>
              <w:spacing w:after="0" w:line="203" w:lineRule="exact"/>
              <w:rPr>
                <w:rFonts w:ascii="Arial" w:cs="Arial" w:eastAsia="Arial" w:hAnsi="Arial"/>
                <w:sz w:val="18"/>
                <w:szCs w:val="18"/>
                <w:color w:val="0000FF"/>
                <w:w w:val="89"/>
              </w:rPr>
            </w:pPr>
            <w:hyperlink r:id="rId10">
              <w:r>
                <w:rPr>
                  <w:rFonts w:ascii="Arial" w:cs="Arial" w:eastAsia="Arial" w:hAnsi="Arial"/>
                  <w:sz w:val="18"/>
                  <w:szCs w:val="18"/>
                  <w:color w:val="0000FF"/>
                  <w:w w:val="89"/>
                </w:rPr>
                <w:t>Separation and Engagement Agreement, dated September 15, 2022, by and between Goosehead Insurance, Inc.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gridSpan w:val="3"/>
            <w:vMerge w:val="continue"/>
          </w:tcPr>
          <w:p>
            <w:pPr>
              <w:spacing w:after="0"/>
              <w:rPr>
                <w:sz w:val="13"/>
                <w:szCs w:val="13"/>
                <w:color w:val="auto"/>
              </w:rPr>
            </w:pPr>
          </w:p>
        </w:tc>
        <w:tc>
          <w:tcPr>
            <w:tcW w:w="832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0">
              <w:r>
                <w:rPr>
                  <w:rFonts w:ascii="Arial" w:cs="Arial" w:eastAsia="Arial" w:hAnsi="Arial"/>
                  <w:sz w:val="16"/>
                  <w:szCs w:val="16"/>
                  <w:color w:val="0000FF"/>
                </w:rPr>
                <w:t>Mark S.. Colby.</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3"/>
          </w:tcPr>
          <w:p>
            <w:pPr>
              <w:spacing w:after="0"/>
              <w:rPr>
                <w:rFonts w:ascii="Arial" w:cs="Arial" w:eastAsia="Arial" w:hAnsi="Arial"/>
                <w:sz w:val="18"/>
                <w:szCs w:val="18"/>
                <w:color w:val="0000FF"/>
              </w:rPr>
            </w:pPr>
            <w:hyperlink r:id="rId11">
              <w:r>
                <w:rPr>
                  <w:rFonts w:ascii="Arial" w:cs="Arial" w:eastAsia="Arial" w:hAnsi="Arial"/>
                  <w:sz w:val="18"/>
                  <w:szCs w:val="18"/>
                  <w:color w:val="0000FF"/>
                </w:rPr>
                <w:t>Exhibit 31.1</w:t>
              </w:r>
            </w:hyperlink>
            <w:r>
              <w:rPr>
                <w:rFonts w:ascii="Arial" w:cs="Arial" w:eastAsia="Arial" w:hAnsi="Arial"/>
                <w:sz w:val="18"/>
                <w:szCs w:val="18"/>
                <w:color w:val="000000"/>
              </w:rPr>
              <w:t>**</w:t>
            </w:r>
          </w:p>
        </w:tc>
        <w:tc>
          <w:tcPr>
            <w:tcW w:w="8400" w:type="dxa"/>
            <w:vAlign w:val="bottom"/>
            <w:gridSpan w:val="9"/>
          </w:tcPr>
          <w:p>
            <w:pPr>
              <w:spacing w:after="0"/>
              <w:rPr>
                <w:rFonts w:ascii="Arial" w:cs="Arial" w:eastAsia="Arial" w:hAnsi="Arial"/>
                <w:sz w:val="18"/>
                <w:szCs w:val="18"/>
                <w:color w:val="0000FF"/>
              </w:rPr>
            </w:pPr>
            <w:hyperlink r:id="rId11">
              <w:r>
                <w:rPr>
                  <w:rFonts w:ascii="Arial" w:cs="Arial" w:eastAsia="Arial" w:hAnsi="Arial"/>
                  <w:sz w:val="18"/>
                  <w:szCs w:val="18"/>
                  <w:color w:val="0000FF"/>
                </w:rPr>
                <w:t>Certifications of Chief Executive Officer pursuant to Section 302 of the Sarbanes-Oxley Act of 2002.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0000FF"/>
            </w:tcBorders>
            <w:gridSpan w:val="3"/>
          </w:tcPr>
          <w:p>
            <w:pPr>
              <w:spacing w:after="0"/>
              <w:rPr>
                <w:rFonts w:ascii="Arial" w:cs="Arial" w:eastAsia="Arial" w:hAnsi="Arial"/>
                <w:sz w:val="18"/>
                <w:szCs w:val="18"/>
                <w:color w:val="0000FF"/>
              </w:rPr>
            </w:pPr>
            <w:hyperlink r:id="rId12">
              <w:r>
                <w:rPr>
                  <w:rFonts w:ascii="Arial" w:cs="Arial" w:eastAsia="Arial" w:hAnsi="Arial"/>
                  <w:sz w:val="18"/>
                  <w:szCs w:val="18"/>
                  <w:color w:val="0000FF"/>
                </w:rPr>
                <w:t>Exhibit 31.2</w:t>
              </w:r>
            </w:hyperlink>
            <w:r>
              <w:rPr>
                <w:rFonts w:ascii="Arial" w:cs="Arial" w:eastAsia="Arial" w:hAnsi="Arial"/>
                <w:sz w:val="18"/>
                <w:szCs w:val="18"/>
                <w:color w:val="000000"/>
              </w:rPr>
              <w:t>**</w:t>
            </w:r>
          </w:p>
        </w:tc>
        <w:tc>
          <w:tcPr>
            <w:tcW w:w="7300" w:type="dxa"/>
            <w:vAlign w:val="bottom"/>
            <w:tcBorders>
              <w:top w:val="single" w:sz="8" w:color="0000FF"/>
            </w:tcBorders>
            <w:gridSpan w:val="4"/>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Certifications of Chief Financial Officer pursuant to Section 302 of the Sarbanes-Oxley Act of 2002.</w:t>
              </w:r>
            </w:hyperlink>
          </w:p>
        </w:tc>
        <w:tc>
          <w:tcPr>
            <w:tcW w:w="1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340" w:type="dxa"/>
            <w:vAlign w:val="bottom"/>
            <w:gridSpan w:val="2"/>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Exhibit 32</w:t>
            </w:r>
            <w:r>
              <w:rPr>
                <w:rFonts w:ascii="Arial" w:cs="Arial" w:eastAsia="Arial" w:hAnsi="Arial"/>
                <w:sz w:val="18"/>
                <w:szCs w:val="18"/>
                <w:color w:val="000000"/>
              </w:rPr>
              <w:t>*</w:t>
            </w:r>
          </w:p>
        </w:tc>
        <w:tc>
          <w:tcPr>
            <w:tcW w:w="1920" w:type="dxa"/>
            <w:vAlign w:val="bottom"/>
            <w:vMerge w:val="restart"/>
          </w:tcPr>
          <w:p>
            <w:pPr>
              <w:spacing w:after="0"/>
              <w:rPr>
                <w:sz w:val="18"/>
                <w:szCs w:val="18"/>
                <w:color w:val="auto"/>
              </w:rPr>
            </w:pPr>
          </w:p>
        </w:tc>
        <w:tc>
          <w:tcPr>
            <w:tcW w:w="8400" w:type="dxa"/>
            <w:vAlign w:val="bottom"/>
            <w:gridSpan w:val="9"/>
          </w:tcPr>
          <w:p>
            <w:pPr>
              <w:spacing w:after="0"/>
              <w:rPr>
                <w:sz w:val="20"/>
                <w:szCs w:val="20"/>
                <w:color w:val="auto"/>
              </w:rPr>
            </w:pPr>
            <w:r>
              <w:rPr>
                <w:rFonts w:ascii="Arial" w:cs="Arial" w:eastAsia="Arial" w:hAnsi="Arial"/>
                <w:sz w:val="18"/>
                <w:szCs w:val="18"/>
                <w:color w:val="0000FF"/>
                <w:w w:val="92"/>
              </w:rPr>
              <w:t>Certifications of Chief Executive Officer and Chief Financial Officer pursuant to Section 906 of the Sarbanes-Oxley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83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60" w:type="dxa"/>
            <w:vAlign w:val="bottom"/>
            <w:gridSpan w:val="2"/>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746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4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400" w:type="dxa"/>
            <w:vAlign w:val="bottom"/>
            <w:gridSpan w:val="9"/>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400" w:type="dxa"/>
            <w:vAlign w:val="bottom"/>
            <w:gridSpan w:val="9"/>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400" w:type="dxa"/>
            <w:vAlign w:val="bottom"/>
            <w:gridSpan w:val="9"/>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400" w:type="dxa"/>
            <w:vAlign w:val="bottom"/>
            <w:gridSpan w:val="9"/>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400" w:type="dxa"/>
            <w:vAlign w:val="bottom"/>
            <w:gridSpan w:val="9"/>
          </w:tcPr>
          <w:p>
            <w:pPr>
              <w:spacing w:after="0"/>
              <w:rPr>
                <w:sz w:val="20"/>
                <w:szCs w:val="20"/>
                <w:color w:val="auto"/>
              </w:rPr>
            </w:pPr>
            <w:r>
              <w:rPr>
                <w:rFonts w:ascii="Arial" w:cs="Arial" w:eastAsia="Arial" w:hAnsi="Arial"/>
                <w:sz w:val="18"/>
                <w:szCs w:val="18"/>
                <w:color w:val="auto"/>
              </w:rPr>
              <w:t>XBRL Presentation Linkbase</w:t>
            </w:r>
          </w:p>
        </w:tc>
        <w:tc>
          <w:tcPr>
            <w:tcW w:w="0" w:type="dxa"/>
            <w:vAlign w:val="bottom"/>
          </w:tcPr>
          <w:p>
            <w:pPr>
              <w:spacing w:after="0"/>
              <w:rPr>
                <w:sz w:val="1"/>
                <w:szCs w:val="1"/>
                <w:color w:val="auto"/>
              </w:rPr>
            </w:pPr>
          </w:p>
        </w:tc>
      </w:tr>
      <w:tr>
        <w:trPr>
          <w:trHeight w:val="230"/>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4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rPr>
          <w:sz w:val="20"/>
          <w:szCs w:val="20"/>
          <w:color w:val="auto"/>
        </w:rPr>
      </w:pPr>
      <w:r>
        <w:rPr>
          <w:rFonts w:ascii="Arial" w:cs="Arial" w:eastAsia="Arial" w:hAnsi="Arial"/>
          <w:sz w:val="18"/>
          <w:szCs w:val="18"/>
          <w:color w:val="auto"/>
        </w:rPr>
        <w:t>** Previously filed or furnished, as applicable, with the Original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1329055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we have duly caused this report to be signed on our behalf by the undersigned thereunto duly authorized.</w:t>
      </w:r>
    </w:p>
    <w:p>
      <w:pPr>
        <w:spacing w:after="0" w:line="27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GOOSEHEAD INSURANCE, INC.</w:t>
      </w:r>
    </w:p>
    <w:p>
      <w:pPr>
        <w:spacing w:after="0" w:line="266" w:lineRule="exact"/>
        <w:rPr>
          <w:sz w:val="20"/>
          <w:szCs w:val="20"/>
          <w:color w:val="auto"/>
        </w:rPr>
      </w:pPr>
    </w:p>
    <w:p>
      <w:pPr>
        <w:ind w:left="1120"/>
        <w:spacing w:after="0"/>
        <w:tabs>
          <w:tab w:leader="none" w:pos="2160" w:val="left"/>
          <w:tab w:leader="none" w:pos="5100" w:val="left"/>
          <w:tab w:leader="none" w:pos="5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24860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Mark E. Jones</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ind w:left="1120"/>
        <w:spacing w:after="0"/>
        <w:tabs>
          <w:tab w:leader="none" w:pos="2160" w:val="left"/>
          <w:tab w:leader="none" w:pos="5100" w:val="left"/>
          <w:tab w:leader="none" w:pos="5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Mark E. Jones,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2486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Mark E. Jones, Jr.</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 and Principal Accounting</w:t>
      </w:r>
    </w:p>
    <w:p>
      <w:pPr>
        <w:ind w:left="58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320" w:top="14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 certification set forth below is being submitted in connection with Goosehead Insurance, Inc.’s Quarterly Report on Form 10-Q for the quarter ended September 30, 2022 (the “Report”) for the purpose of complying with Rule 13a-14(b) or Rule 15d-14(b) of the Securities Exchange Act of 1934 (the</w:t>
      </w:r>
    </w:p>
    <w:p>
      <w:pPr>
        <w:spacing w:after="0"/>
        <w:rPr>
          <w:sz w:val="20"/>
          <w:szCs w:val="20"/>
          <w:color w:val="auto"/>
        </w:rPr>
      </w:pPr>
      <w:r>
        <w:rPr>
          <w:rFonts w:ascii="Arial" w:cs="Arial" w:eastAsia="Arial" w:hAnsi="Arial"/>
          <w:sz w:val="18"/>
          <w:szCs w:val="18"/>
          <w:color w:val="auto"/>
        </w:rPr>
        <w:t>“Exchange Act”) and Section 1350 of Chapter 63 of Title 18 of the United States Code.</w:t>
      </w:r>
    </w:p>
    <w:p>
      <w:pPr>
        <w:spacing w:after="0" w:line="169"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Mark E. Jones, the Chief Executive Officer and Mark E. Jones, Jr., the Chief Financial Officer of Goosehead Insurance, Inc., each certifies that, to the best of his knowledge:</w:t>
      </w:r>
    </w:p>
    <w:p>
      <w:pPr>
        <w:spacing w:after="0" w:line="175"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84" w:lineRule="exact"/>
        <w:rPr>
          <w:rFonts w:ascii="Arial" w:cs="Arial" w:eastAsia="Arial" w:hAnsi="Arial"/>
          <w:sz w:val="18"/>
          <w:szCs w:val="18"/>
          <w:color w:val="auto"/>
        </w:rPr>
      </w:pPr>
    </w:p>
    <w:p>
      <w:pPr>
        <w:ind w:right="220" w:firstLine="656"/>
        <w:spacing w:after="0" w:line="235" w:lineRule="auto"/>
        <w:tabs>
          <w:tab w:leader="none" w:pos="8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Goosehead Insurance,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2022</w:t>
      </w:r>
    </w:p>
    <w:p>
      <w:pPr>
        <w:spacing w:after="0" w:line="212"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 Mark E. Jones_______________________</w:t>
      </w:r>
    </w:p>
    <w:p>
      <w:pPr>
        <w:jc w:val="right"/>
        <w:spacing w:after="0" w:line="227" w:lineRule="auto"/>
        <w:rPr>
          <w:sz w:val="20"/>
          <w:szCs w:val="20"/>
          <w:color w:val="auto"/>
        </w:rPr>
      </w:pPr>
      <w:r>
        <w:rPr>
          <w:rFonts w:ascii="Arial" w:cs="Arial" w:eastAsia="Arial" w:hAnsi="Arial"/>
          <w:sz w:val="18"/>
          <w:szCs w:val="18"/>
          <w:color w:val="auto"/>
        </w:rPr>
        <w:t>Mark E. Jones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2022</w:t>
      </w:r>
    </w:p>
    <w:p>
      <w:pPr>
        <w:spacing w:after="0" w:line="212" w:lineRule="exact"/>
        <w:rPr>
          <w:sz w:val="20"/>
          <w:szCs w:val="20"/>
          <w:color w:val="auto"/>
        </w:rPr>
      </w:pPr>
    </w:p>
    <w:p>
      <w:pPr>
        <w:ind w:left="7660"/>
        <w:spacing w:after="0"/>
        <w:rPr>
          <w:sz w:val="20"/>
          <w:szCs w:val="20"/>
          <w:color w:val="auto"/>
        </w:rPr>
      </w:pPr>
      <w:r>
        <w:rPr>
          <w:rFonts w:ascii="Arial" w:cs="Arial" w:eastAsia="Arial" w:hAnsi="Arial"/>
          <w:sz w:val="16"/>
          <w:szCs w:val="16"/>
          <w:u w:val="single" w:color="auto"/>
          <w:color w:val="auto"/>
        </w:rPr>
        <w:t>/s/ Mark E. Jones, Jr._______________________</w:t>
      </w:r>
    </w:p>
    <w:p>
      <w:pPr>
        <w:spacing w:after="0" w:line="21" w:lineRule="exact"/>
        <w:rPr>
          <w:sz w:val="20"/>
          <w:szCs w:val="20"/>
          <w:color w:val="auto"/>
        </w:rPr>
      </w:pPr>
    </w:p>
    <w:p>
      <w:pPr>
        <w:ind w:left="9960"/>
        <w:spacing w:after="0"/>
        <w:rPr>
          <w:sz w:val="20"/>
          <w:szCs w:val="20"/>
          <w:color w:val="auto"/>
        </w:rPr>
      </w:pPr>
      <w:r>
        <w:rPr>
          <w:rFonts w:ascii="Arial" w:cs="Arial" w:eastAsia="Arial" w:hAnsi="Arial"/>
          <w:sz w:val="15"/>
          <w:szCs w:val="15"/>
          <w:color w:val="auto"/>
        </w:rPr>
        <w:t>Mark E. Jones, Jr.</w:t>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9" Type="http://schemas.openxmlformats.org/officeDocument/2006/relationships/hyperlink" Target="http://www.sec.gov/Archives/edgar/data/1726978/000172697822000109/a20220911-ol.htm" TargetMode="External"/><Relationship Id="rId10" Type="http://schemas.openxmlformats.org/officeDocument/2006/relationships/hyperlink" Target="http://www.sec.gov/Archives/edgar/data/1726978/000172697822000121/ex102mcseperation.htm" TargetMode="External"/><Relationship Id="rId11" Type="http://schemas.openxmlformats.org/officeDocument/2006/relationships/hyperlink" Target="http://www.sec.gov/Archives/edgar/data/1726978/000172697822000121/exhibit31120220930.htm" TargetMode="External"/><Relationship Id="rId12" Type="http://schemas.openxmlformats.org/officeDocument/2006/relationships/hyperlink" Target="http://www.sec.gov/Archives/edgar/data/1726978/000172697822000121/exhibit3122022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2022-11-01T05:21:13Z</dcterms:created>
  <dcterms:modified xsi:type="dcterms:W3CDTF">2022-11-01T05:21:13Z</dcterms:modified>
</cp:coreProperties>
</file>