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88521.xml.htm"/>
      <w:bookmarkStart w:id="1" w:name="kswkform4_17871885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Mark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GOOSEHEAD INSURANCE,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 SOLANA BLVD., BLDG 4, STE 4500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Goosehead Insurance,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GSHD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10% owner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7" name="Image7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Image7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38,751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182,349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8,511,535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4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 in Goosehead Financial,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182,349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182,349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 in Goosehead Financial,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8,511,535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8,511,535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Does not reflect shares of Class A Common Stock, shares of Class B Common Stock, or LLC Units, as applicable, directly held by the reporting person's spouse, who is independently a reporting person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of Class A Common Stock, shares of Class B Common Stock, or LLC Units, as applicable, held in trust for which the reporting person serves as a trustee and of which the reporting person's immediate family members are beneficiaries.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LLC Unit, together with a share of Class B Common Stock, may be converted by the holder into one share of Class A Common Stock at any time. The LLC Units do not expire.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Thornthwaite, as Attorney-in-Fact for Mark Evan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768" TargetMode="External"/><Relationship Id="rId5" Type="http://schemas.openxmlformats.org/officeDocument/2006/relationships/hyperlink" Target="http://www.sec.gov/cgi-bin/browse-edgar?action=getcompany&amp;CIK=0001726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image" Target="https://cdn.kscope.io/box-checked.jpg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746</Words>
  <Characters>3918</Characters>
  <CharactersWithSpaces>4569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