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5"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3, 2026</w:t>
      </w:r>
    </w:p>
    <w:p>
      <w:pPr>
        <w:spacing w:after="0" w:line="23"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0"/>
          <w:szCs w:val="40"/>
          <w:b w:val="1"/>
          <w:bCs w:val="1"/>
          <w:color w:val="auto"/>
        </w:rPr>
        <w:t>Goosehead Insurance, Inc.</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1"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18"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62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color w:val="auto"/>
                <w:w w:val="98"/>
              </w:rPr>
              <w:t>Delaware</w:t>
            </w:r>
          </w:p>
        </w:tc>
        <w:tc>
          <w:tcPr>
            <w:tcW w:w="5080" w:type="dxa"/>
            <w:vAlign w:val="bottom"/>
            <w:gridSpan w:val="3"/>
          </w:tcPr>
          <w:p>
            <w:pPr>
              <w:ind w:left="2140"/>
              <w:spacing w:after="0"/>
              <w:rPr>
                <w:sz w:val="20"/>
                <w:szCs w:val="20"/>
                <w:color w:val="auto"/>
              </w:rPr>
            </w:pPr>
            <w:r>
              <w:rPr>
                <w:rFonts w:ascii="Times New Roman" w:cs="Times New Roman" w:eastAsia="Times New Roman" w:hAnsi="Times New Roman"/>
                <w:sz w:val="18"/>
                <w:szCs w:val="18"/>
                <w:color w:val="auto"/>
              </w:rPr>
              <w:t>001-38466</w:t>
            </w:r>
          </w:p>
        </w:tc>
        <w:tc>
          <w:tcPr>
            <w:tcW w:w="1740" w:type="dxa"/>
            <w:vAlign w:val="bottom"/>
            <w:gridSpan w:val="3"/>
          </w:tcPr>
          <w:p>
            <w:pPr>
              <w:jc w:val="center"/>
              <w:ind w:left="542"/>
              <w:spacing w:after="0"/>
              <w:rPr>
                <w:sz w:val="20"/>
                <w:szCs w:val="20"/>
                <w:color w:val="auto"/>
              </w:rPr>
            </w:pPr>
            <w:r>
              <w:rPr>
                <w:rFonts w:ascii="Times New Roman" w:cs="Times New Roman" w:eastAsia="Times New Roman" w:hAnsi="Times New Roman"/>
                <w:sz w:val="18"/>
                <w:szCs w:val="18"/>
                <w:color w:val="auto"/>
              </w:rPr>
              <w:t>82-3886022</w:t>
            </w:r>
          </w:p>
        </w:tc>
      </w:tr>
      <w:tr>
        <w:trPr>
          <w:trHeight w:val="20"/>
        </w:trPr>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5"/>
        </w:trPr>
        <w:tc>
          <w:tcPr>
            <w:tcW w:w="21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80" w:type="dxa"/>
            <w:vAlign w:val="bottom"/>
            <w:gridSpan w:val="3"/>
          </w:tcPr>
          <w:p>
            <w:pPr>
              <w:ind w:left="212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40" w:type="dxa"/>
            <w:vAlign w:val="bottom"/>
            <w:gridSpan w:val="3"/>
          </w:tcPr>
          <w:p>
            <w:pPr>
              <w:jc w:val="center"/>
              <w:ind w:left="54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80" w:type="dxa"/>
            <w:vAlign w:val="bottom"/>
            <w:gridSpan w:val="3"/>
          </w:tcPr>
          <w:p>
            <w:pPr>
              <w:ind w:left="21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40" w:type="dxa"/>
            <w:vAlign w:val="bottom"/>
            <w:gridSpan w:val="3"/>
          </w:tcPr>
          <w:p>
            <w:pPr>
              <w:jc w:val="center"/>
              <w:ind w:left="5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86"/>
        </w:trPr>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1500 Solana Boulevard, Ste. 4500</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8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rPr>
              <w:t>Westlake, Texas 76262</w:t>
            </w: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0"/>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31"/>
        </w:trPr>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214-838-5500</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44"/>
        </w:trPr>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Not applicable</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bl>
    <w:p>
      <w:pPr>
        <w:spacing w:after="0" w:line="228"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General Instruction A.2. below):</w:t>
      </w:r>
    </w:p>
    <w:p>
      <w:pPr>
        <w:ind w:left="100"/>
        <w:spacing w:after="0" w:line="141" w:lineRule="exact"/>
        <w:rPr>
          <w:sz w:val="20"/>
          <w:szCs w:val="20"/>
          <w:color w:val="auto"/>
        </w:rPr>
      </w:pPr>
      <w:r>
        <w:rPr>
          <w:rFonts w:ascii="MS PGothic" w:cs="MS PGothic" w:eastAsia="MS PGothic" w:hAnsi="MS PGothic"/>
          <w:sz w:val="14"/>
          <w:szCs w:val="14"/>
          <w:color w:val="auto"/>
        </w:rPr>
        <w:t>☐</w:t>
      </w:r>
    </w:p>
    <w:p>
      <w:pPr>
        <w:spacing w:after="0" w:line="10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color w:val="auto"/>
        </w:rPr>
        <w:t>Written communication pursuant to Rule 425 under the Securities Act (17 CFR 230.425)</w:t>
      </w:r>
    </w:p>
    <w:p>
      <w:pPr>
        <w:spacing w:after="0" w:line="64" w:lineRule="exact"/>
        <w:rPr>
          <w:sz w:val="24"/>
          <w:szCs w:val="24"/>
          <w:color w:val="auto"/>
        </w:rPr>
      </w:pPr>
    </w:p>
    <w:p>
      <w:pPr>
        <w:ind w:left="100"/>
        <w:spacing w:after="0" w:line="141" w:lineRule="exact"/>
        <w:rPr>
          <w:sz w:val="20"/>
          <w:szCs w:val="20"/>
          <w:color w:val="auto"/>
        </w:rPr>
      </w:pPr>
      <w:r>
        <w:rPr>
          <w:rFonts w:ascii="MS PGothic" w:cs="MS PGothic" w:eastAsia="MS PGothic" w:hAnsi="MS PGothic"/>
          <w:sz w:val="14"/>
          <w:szCs w:val="14"/>
          <w:color w:val="auto"/>
        </w:rPr>
        <w:t>☐</w:t>
      </w:r>
    </w:p>
    <w:p>
      <w:pPr>
        <w:spacing w:after="0" w:line="10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64" w:lineRule="exact"/>
        <w:rPr>
          <w:sz w:val="24"/>
          <w:szCs w:val="24"/>
          <w:color w:val="auto"/>
        </w:rPr>
      </w:pPr>
    </w:p>
    <w:p>
      <w:pPr>
        <w:ind w:left="100"/>
        <w:spacing w:after="0" w:line="141" w:lineRule="exact"/>
        <w:rPr>
          <w:sz w:val="20"/>
          <w:szCs w:val="20"/>
          <w:color w:val="auto"/>
        </w:rPr>
      </w:pPr>
      <w:r>
        <w:rPr>
          <w:rFonts w:ascii="MS PGothic" w:cs="MS PGothic" w:eastAsia="MS PGothic" w:hAnsi="MS PGothic"/>
          <w:sz w:val="14"/>
          <w:szCs w:val="14"/>
          <w:color w:val="auto"/>
        </w:rPr>
        <w:t>☐</w:t>
      </w:r>
    </w:p>
    <w:p>
      <w:pPr>
        <w:spacing w:after="0" w:line="10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color w:val="auto"/>
        </w:rPr>
        <w:t>Pre-commencement communication pursuant to Rule 14d-2(b) under the Exchange Act (17 CFR 240.14d-2(b))</w:t>
      </w:r>
    </w:p>
    <w:p>
      <w:pPr>
        <w:spacing w:after="0" w:line="64" w:lineRule="exact"/>
        <w:rPr>
          <w:sz w:val="24"/>
          <w:szCs w:val="24"/>
          <w:color w:val="auto"/>
        </w:rPr>
      </w:pPr>
    </w:p>
    <w:p>
      <w:pPr>
        <w:ind w:left="100"/>
        <w:spacing w:after="0" w:line="141" w:lineRule="exact"/>
        <w:rPr>
          <w:sz w:val="20"/>
          <w:szCs w:val="20"/>
          <w:color w:val="auto"/>
        </w:rPr>
      </w:pPr>
      <w:r>
        <w:rPr>
          <w:rFonts w:ascii="MS PGothic" w:cs="MS PGothic" w:eastAsia="MS PGothic" w:hAnsi="MS PGothic"/>
          <w:sz w:val="14"/>
          <w:szCs w:val="14"/>
          <w:color w:val="auto"/>
        </w:rPr>
        <w:t>☐</w:t>
      </w:r>
    </w:p>
    <w:p>
      <w:pPr>
        <w:spacing w:after="0" w:line="10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color w:val="auto"/>
        </w:rPr>
        <w:t>Pre-commencement communication pursuant to Rule 13e-4(c) under the Exchange Act (17 CFR 240.13e-4(c))</w:t>
      </w:r>
    </w:p>
    <w:p>
      <w:pPr>
        <w:spacing w:after="0" w:line="200" w:lineRule="exact"/>
        <w:rPr>
          <w:sz w:val="24"/>
          <w:szCs w:val="24"/>
          <w:color w:val="auto"/>
        </w:rPr>
      </w:pPr>
    </w:p>
    <w:p>
      <w:pPr>
        <w:spacing w:after="0" w:line="2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44" w:lineRule="exact"/>
        <w:rPr>
          <w:sz w:val="24"/>
          <w:szCs w:val="24"/>
          <w:color w:val="auto"/>
        </w:rPr>
      </w:pPr>
    </w:p>
    <w:tbl>
      <w:tblPr>
        <w:tblLayout w:type="fixed"/>
        <w:tblInd w:w="70" w:type="dxa"/>
        <w:tblCellMar>
          <w:top w:w="0" w:type="dxa"/>
          <w:left w:w="0" w:type="dxa"/>
          <w:bottom w:w="0" w:type="dxa"/>
          <w:right w:w="0" w:type="dxa"/>
        </w:tblCellMar>
      </w:tblPr>
      <w:tr>
        <w:trPr>
          <w:trHeight w:val="248"/>
        </w:trPr>
        <w:tc>
          <w:tcPr>
            <w:tcW w:w="4200" w:type="dxa"/>
            <w:vAlign w:val="bottom"/>
            <w:tcBorders>
              <w:top w:val="single" w:sz="8" w:color="auto"/>
              <w:left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Title of each class</w:t>
            </w:r>
          </w:p>
        </w:tc>
        <w:tc>
          <w:tcPr>
            <w:tcW w:w="2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36"/>
        </w:trPr>
        <w:tc>
          <w:tcPr>
            <w:tcW w:w="4200" w:type="dxa"/>
            <w:vAlign w:val="bottom"/>
            <w:tcBorders>
              <w:left w:val="single" w:sz="8" w:color="auto"/>
              <w:bottom w:val="single" w:sz="8" w:color="auto"/>
              <w:right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4240" w:type="dxa"/>
            <w:vAlign w:val="bottom"/>
            <w:tcBorders>
              <w:bottom w:val="single" w:sz="8" w:color="auto"/>
              <w:right w:val="single" w:sz="8" w:color="auto"/>
            </w:tcBorders>
          </w:tcPr>
          <w:p>
            <w:pPr>
              <w:spacing w:after="0"/>
              <w:rPr>
                <w:sz w:val="3"/>
                <w:szCs w:val="3"/>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Class A Common Stock, par value $.01 per share</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GSHD</w:t>
            </w:r>
          </w:p>
        </w:tc>
        <w:tc>
          <w:tcPr>
            <w:tcW w:w="4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36"/>
        </w:trPr>
        <w:tc>
          <w:tcPr>
            <w:tcW w:w="4200" w:type="dxa"/>
            <w:vAlign w:val="bottom"/>
            <w:tcBorders>
              <w:left w:val="single" w:sz="8" w:color="auto"/>
              <w:bottom w:val="single" w:sz="8" w:color="auto"/>
              <w:right w:val="single" w:sz="8" w:color="auto"/>
            </w:tcBorders>
          </w:tcPr>
          <w:p>
            <w:pPr>
              <w:spacing w:after="0"/>
              <w:rPr>
                <w:sz w:val="3"/>
                <w:szCs w:val="3"/>
                <w:color w:val="auto"/>
              </w:rPr>
            </w:pPr>
          </w:p>
        </w:tc>
        <w:tc>
          <w:tcPr>
            <w:tcW w:w="2700" w:type="dxa"/>
            <w:vAlign w:val="bottom"/>
            <w:tcBorders>
              <w:bottom w:val="single" w:sz="8" w:color="auto"/>
              <w:right w:val="single" w:sz="8" w:color="auto"/>
            </w:tcBorders>
          </w:tcPr>
          <w:p>
            <w:pPr>
              <w:spacing w:after="0"/>
              <w:rPr>
                <w:sz w:val="3"/>
                <w:szCs w:val="3"/>
                <w:color w:val="auto"/>
              </w:rPr>
            </w:pPr>
          </w:p>
        </w:tc>
        <w:tc>
          <w:tcPr>
            <w:tcW w:w="4240" w:type="dxa"/>
            <w:vAlign w:val="bottom"/>
            <w:tcBorders>
              <w:bottom w:val="single" w:sz="8" w:color="auto"/>
              <w:right w:val="single" w:sz="8" w:color="auto"/>
            </w:tcBorders>
          </w:tcPr>
          <w:p>
            <w:pPr>
              <w:spacing w:after="0"/>
              <w:rPr>
                <w:sz w:val="3"/>
                <w:szCs w:val="3"/>
                <w:color w:val="auto"/>
              </w:rPr>
            </w:pPr>
          </w:p>
        </w:tc>
      </w:tr>
    </w:tbl>
    <w:p>
      <w:pPr>
        <w:spacing w:after="0" w:line="85" w:lineRule="exact"/>
        <w:rPr>
          <w:sz w:val="24"/>
          <w:szCs w:val="24"/>
          <w:color w:val="auto"/>
        </w:rPr>
      </w:pPr>
    </w:p>
    <w:p>
      <w:pPr>
        <w:ind w:right="80"/>
        <w:spacing w:after="0" w:line="26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6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p>
    <w:p>
      <w:pPr>
        <w:ind w:right="520"/>
        <w:spacing w:after="0" w:line="17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845820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7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As previously disclosed by Goosehead Insurance, Inc. (the “Company”) on a Current Report on Form 8-K filed on March 30, 2026, the Company announced that John O’Connor, the Company’s General Counsel, was leaving the Company effective immediately. Subsequent to that announcement, Mr. O’Connor entered into a Separation Agreement with the Company, dated as of April 3, 2026 (the “Separation Agreement”), that provides for the terms relating to Mr. O’Connor’s separation from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Separation Agreement, effective as of March 29, 2026, Mr. O’Connor will provide consulting services to the Company through September 30, 2026 in order to effectuate a smooth transition of responsibilities. Subject to his continued compliance with his applicable covenants, Mr. O’Connor will receive consultancy fees in an amount equal to six months of his base salary, continued vesting of his outstanding equity awards and a stipend to offset six months of COBRA coverage expenses.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Separation Agreement will be filed as an exhibit to the Company’s quarterly report on Form 10-Q for the quarter ended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6116955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GOOSEHEAD INSURANCE,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8, 2026</w:t>
            </w:r>
          </w:p>
        </w:tc>
        <w:tc>
          <w:tcPr>
            <w:tcW w:w="28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Mark Miller</w:t>
            </w:r>
          </w:p>
        </w:tc>
      </w:tr>
      <w:tr>
        <w:trPr>
          <w:trHeight w:val="345"/>
        </w:trPr>
        <w:tc>
          <w:tcPr>
            <w:tcW w:w="3500" w:type="dxa"/>
            <w:vAlign w:val="bottom"/>
          </w:tcPr>
          <w:p>
            <w:pPr>
              <w:spacing w:after="0"/>
              <w:rPr>
                <w:sz w:val="24"/>
                <w:szCs w:val="24"/>
                <w:color w:val="auto"/>
              </w:rPr>
            </w:pPr>
          </w:p>
        </w:tc>
        <w:tc>
          <w:tcPr>
            <w:tcW w:w="28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 Miller</w:t>
            </w:r>
          </w:p>
        </w:tc>
      </w:tr>
      <w:tr>
        <w:trPr>
          <w:trHeight w:val="310"/>
        </w:trPr>
        <w:tc>
          <w:tcPr>
            <w:tcW w:w="3500" w:type="dxa"/>
            <w:vAlign w:val="bottom"/>
          </w:tcPr>
          <w:p>
            <w:pPr>
              <w:spacing w:after="0"/>
              <w:rPr>
                <w:sz w:val="24"/>
                <w:szCs w:val="24"/>
                <w:color w:val="auto"/>
              </w:rPr>
            </w:pPr>
          </w:p>
        </w:tc>
        <w:tc>
          <w:tcPr>
            <w:tcW w:w="28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00"/>
      </w:cols>
      <w:pgMar w:left="320" w:top="8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2026-04-08T16:23:40Z</dcterms:created>
  <dcterms:modified xsi:type="dcterms:W3CDTF">2026-04-08T16:23:40Z</dcterms:modified>
</cp:coreProperties>
</file>