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16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71" w:lineRule="exact"/>
        <w:rPr>
          <w:sz w:val="24"/>
          <w:szCs w:val="24"/>
          <w:color w:val="auto"/>
        </w:rPr>
      </w:pPr>
    </w:p>
    <w:p>
      <w:pPr>
        <w:ind w:left="540" w:hanging="506"/>
        <w:spacing w:after="0"/>
        <w:tabs>
          <w:tab w:leader="none" w:pos="5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1" w:lineRule="exact"/>
        <w:rPr>
          <w:sz w:val="24"/>
          <w:szCs w:val="24"/>
          <w:color w:val="auto"/>
        </w:rPr>
      </w:pPr>
    </w:p>
    <w:p>
      <w:pPr>
        <w:ind w:left="540" w:hanging="50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For the transition period from _______ to 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001-38466</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GOOSEHEAD INSURANCE,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15" w:lineRule="exact"/>
        <w:rPr>
          <w:sz w:val="24"/>
          <w:szCs w:val="24"/>
          <w:color w:val="auto"/>
        </w:rPr>
      </w:pPr>
    </w:p>
    <w:tbl>
      <w:tblPr>
        <w:tblLayout w:type="fixed"/>
        <w:tblInd w:w="1480" w:type="dxa"/>
        <w:tblCellMar>
          <w:top w:w="0" w:type="dxa"/>
          <w:left w:w="0" w:type="dxa"/>
          <w:bottom w:w="0" w:type="dxa"/>
          <w:right w:w="0" w:type="dxa"/>
        </w:tblCellMar>
      </w:tblPr>
      <w:tr>
        <w:trPr>
          <w:trHeight w:val="210"/>
        </w:trPr>
        <w:tc>
          <w:tcPr>
            <w:tcW w:w="6280" w:type="dxa"/>
            <w:vAlign w:val="bottom"/>
          </w:tcPr>
          <w:p>
            <w:pPr>
              <w:jc w:val="center"/>
              <w:ind w:right="3444"/>
              <w:spacing w:after="0"/>
              <w:rPr>
                <w:sz w:val="20"/>
                <w:szCs w:val="20"/>
                <w:color w:val="auto"/>
              </w:rPr>
            </w:pPr>
            <w:r>
              <w:rPr>
                <w:rFonts w:ascii="Arial" w:cs="Arial" w:eastAsia="Arial" w:hAnsi="Arial"/>
                <w:sz w:val="16"/>
                <w:szCs w:val="16"/>
                <w:b w:val="1"/>
                <w:bCs w:val="1"/>
                <w:color w:val="auto"/>
                <w:w w:val="91"/>
              </w:rPr>
              <w:t>Delaware</w:t>
            </w:r>
          </w:p>
        </w:tc>
        <w:tc>
          <w:tcPr>
            <w:tcW w:w="1340" w:type="dxa"/>
            <w:vAlign w:val="bottom"/>
          </w:tcPr>
          <w:p>
            <w:pPr>
              <w:jc w:val="right"/>
              <w:ind w:right="65"/>
              <w:spacing w:after="0"/>
              <w:rPr>
                <w:sz w:val="20"/>
                <w:szCs w:val="20"/>
                <w:color w:val="auto"/>
              </w:rPr>
            </w:pPr>
            <w:r>
              <w:rPr>
                <w:rFonts w:ascii="Arial" w:cs="Arial" w:eastAsia="Arial" w:hAnsi="Arial"/>
                <w:sz w:val="16"/>
                <w:szCs w:val="16"/>
                <w:b w:val="1"/>
                <w:bCs w:val="1"/>
                <w:color w:val="auto"/>
              </w:rPr>
              <w:t>82-3886022</w:t>
            </w:r>
          </w:p>
        </w:tc>
      </w:tr>
      <w:tr>
        <w:trPr>
          <w:trHeight w:val="188"/>
        </w:trPr>
        <w:tc>
          <w:tcPr>
            <w:tcW w:w="6280" w:type="dxa"/>
            <w:vAlign w:val="bottom"/>
          </w:tcPr>
          <w:p>
            <w:pPr>
              <w:jc w:val="center"/>
              <w:ind w:right="3424"/>
              <w:spacing w:after="0"/>
              <w:rPr>
                <w:sz w:val="20"/>
                <w:szCs w:val="20"/>
                <w:color w:val="auto"/>
              </w:rPr>
            </w:pPr>
            <w:r>
              <w:rPr>
                <w:rFonts w:ascii="Arial" w:cs="Arial" w:eastAsia="Arial" w:hAnsi="Arial"/>
                <w:sz w:val="14"/>
                <w:szCs w:val="14"/>
                <w:color w:val="auto"/>
                <w:w w:val="94"/>
              </w:rPr>
              <w:t>(State or other jurisdiction of</w:t>
            </w:r>
          </w:p>
        </w:tc>
        <w:tc>
          <w:tcPr>
            <w:tcW w:w="1340" w:type="dxa"/>
            <w:vAlign w:val="bottom"/>
          </w:tcPr>
          <w:p>
            <w:pPr>
              <w:jc w:val="center"/>
              <w:ind w:left="205"/>
              <w:spacing w:after="0"/>
              <w:rPr>
                <w:sz w:val="20"/>
                <w:szCs w:val="20"/>
                <w:color w:val="auto"/>
              </w:rPr>
            </w:pPr>
            <w:r>
              <w:rPr>
                <w:rFonts w:ascii="Arial" w:cs="Arial" w:eastAsia="Arial" w:hAnsi="Arial"/>
                <w:sz w:val="14"/>
                <w:szCs w:val="14"/>
                <w:color w:val="auto"/>
                <w:w w:val="94"/>
              </w:rPr>
              <w:t>(IRS Employer</w:t>
            </w:r>
          </w:p>
        </w:tc>
      </w:tr>
      <w:tr>
        <w:trPr>
          <w:trHeight w:val="182"/>
        </w:trPr>
        <w:tc>
          <w:tcPr>
            <w:tcW w:w="6280" w:type="dxa"/>
            <w:vAlign w:val="bottom"/>
          </w:tcPr>
          <w:p>
            <w:pPr>
              <w:jc w:val="center"/>
              <w:ind w:right="3444"/>
              <w:spacing w:after="0"/>
              <w:rPr>
                <w:sz w:val="20"/>
                <w:szCs w:val="20"/>
                <w:color w:val="auto"/>
              </w:rPr>
            </w:pPr>
            <w:r>
              <w:rPr>
                <w:rFonts w:ascii="Arial" w:cs="Arial" w:eastAsia="Arial" w:hAnsi="Arial"/>
                <w:sz w:val="14"/>
                <w:szCs w:val="14"/>
                <w:color w:val="auto"/>
                <w:w w:val="94"/>
              </w:rPr>
              <w:t>incorporation or organization)</w:t>
            </w:r>
          </w:p>
        </w:tc>
        <w:tc>
          <w:tcPr>
            <w:tcW w:w="1340" w:type="dxa"/>
            <w:vAlign w:val="bottom"/>
          </w:tcPr>
          <w:p>
            <w:pPr>
              <w:jc w:val="center"/>
              <w:ind w:left="205"/>
              <w:spacing w:after="0"/>
              <w:rPr>
                <w:sz w:val="20"/>
                <w:szCs w:val="20"/>
                <w:color w:val="auto"/>
              </w:rPr>
            </w:pPr>
            <w:r>
              <w:rPr>
                <w:rFonts w:ascii="Arial" w:cs="Arial" w:eastAsia="Arial" w:hAnsi="Arial"/>
                <w:sz w:val="14"/>
                <w:szCs w:val="14"/>
                <w:color w:val="auto"/>
                <w:w w:val="97"/>
              </w:rPr>
              <w:t>Identification No.)</w:t>
            </w:r>
          </w:p>
        </w:tc>
      </w:tr>
      <w:tr>
        <w:trPr>
          <w:trHeight w:val="226"/>
        </w:trPr>
        <w:tc>
          <w:tcPr>
            <w:tcW w:w="6280" w:type="dxa"/>
            <w:vAlign w:val="bottom"/>
          </w:tcPr>
          <w:p>
            <w:pPr>
              <w:jc w:val="center"/>
              <w:ind w:right="3444"/>
              <w:spacing w:after="0"/>
              <w:rPr>
                <w:sz w:val="20"/>
                <w:szCs w:val="20"/>
                <w:color w:val="auto"/>
              </w:rPr>
            </w:pPr>
            <w:r>
              <w:rPr>
                <w:rFonts w:ascii="Arial" w:cs="Arial" w:eastAsia="Arial" w:hAnsi="Arial"/>
                <w:sz w:val="16"/>
                <w:szCs w:val="16"/>
                <w:b w:val="1"/>
                <w:bCs w:val="1"/>
                <w:color w:val="auto"/>
                <w:w w:val="90"/>
              </w:rPr>
              <w:t>1500 Solana Blvd, Building 4, Suite 4500</w:t>
            </w:r>
          </w:p>
        </w:tc>
        <w:tc>
          <w:tcPr>
            <w:tcW w:w="1340" w:type="dxa"/>
            <w:vAlign w:val="bottom"/>
          </w:tcPr>
          <w:p>
            <w:pPr>
              <w:spacing w:after="0"/>
              <w:rPr>
                <w:sz w:val="19"/>
                <w:szCs w:val="19"/>
                <w:color w:val="auto"/>
              </w:rPr>
            </w:pPr>
          </w:p>
        </w:tc>
      </w:tr>
      <w:tr>
        <w:trPr>
          <w:trHeight w:val="210"/>
        </w:trPr>
        <w:tc>
          <w:tcPr>
            <w:tcW w:w="6280" w:type="dxa"/>
            <w:vAlign w:val="bottom"/>
          </w:tcPr>
          <w:p>
            <w:pPr>
              <w:jc w:val="center"/>
              <w:ind w:right="3444"/>
              <w:spacing w:after="0"/>
              <w:rPr>
                <w:sz w:val="20"/>
                <w:szCs w:val="20"/>
                <w:color w:val="auto"/>
              </w:rPr>
            </w:pPr>
            <w:r>
              <w:rPr>
                <w:rFonts w:ascii="Arial" w:cs="Arial" w:eastAsia="Arial" w:hAnsi="Arial"/>
                <w:sz w:val="16"/>
                <w:szCs w:val="16"/>
                <w:b w:val="1"/>
                <w:bCs w:val="1"/>
                <w:color w:val="auto"/>
                <w:w w:val="93"/>
              </w:rPr>
              <w:t>Westlake, TX</w:t>
            </w:r>
          </w:p>
        </w:tc>
        <w:tc>
          <w:tcPr>
            <w:tcW w:w="1340" w:type="dxa"/>
            <w:vAlign w:val="bottom"/>
          </w:tcPr>
          <w:p>
            <w:pPr>
              <w:jc w:val="right"/>
              <w:ind w:right="265"/>
              <w:spacing w:after="0"/>
              <w:rPr>
                <w:sz w:val="20"/>
                <w:szCs w:val="20"/>
                <w:color w:val="auto"/>
              </w:rPr>
            </w:pPr>
            <w:r>
              <w:rPr>
                <w:rFonts w:ascii="Arial" w:cs="Arial" w:eastAsia="Arial" w:hAnsi="Arial"/>
                <w:sz w:val="16"/>
                <w:szCs w:val="16"/>
                <w:b w:val="1"/>
                <w:bCs w:val="1"/>
                <w:color w:val="auto"/>
              </w:rPr>
              <w:t>76262</w:t>
            </w:r>
          </w:p>
        </w:tc>
      </w:tr>
      <w:tr>
        <w:trPr>
          <w:trHeight w:val="222"/>
        </w:trPr>
        <w:tc>
          <w:tcPr>
            <w:tcW w:w="6280" w:type="dxa"/>
            <w:vAlign w:val="bottom"/>
          </w:tcPr>
          <w:p>
            <w:pPr>
              <w:jc w:val="center"/>
              <w:ind w:right="3444"/>
              <w:spacing w:after="0"/>
              <w:rPr>
                <w:sz w:val="20"/>
                <w:szCs w:val="20"/>
                <w:color w:val="auto"/>
              </w:rPr>
            </w:pPr>
            <w:r>
              <w:rPr>
                <w:rFonts w:ascii="Arial" w:cs="Arial" w:eastAsia="Arial" w:hAnsi="Arial"/>
                <w:sz w:val="14"/>
                <w:szCs w:val="14"/>
                <w:color w:val="auto"/>
                <w:w w:val="95"/>
              </w:rPr>
              <w:t>(Address of principal executive offices)</w:t>
            </w:r>
          </w:p>
        </w:tc>
        <w:tc>
          <w:tcPr>
            <w:tcW w:w="1340" w:type="dxa"/>
            <w:vAlign w:val="bottom"/>
          </w:tcPr>
          <w:p>
            <w:pPr>
              <w:jc w:val="center"/>
              <w:ind w:left="205"/>
              <w:spacing w:after="0"/>
              <w:rPr>
                <w:sz w:val="20"/>
                <w:szCs w:val="20"/>
                <w:color w:val="auto"/>
              </w:rPr>
            </w:pPr>
            <w:r>
              <w:rPr>
                <w:rFonts w:ascii="Arial" w:cs="Arial" w:eastAsia="Arial" w:hAnsi="Arial"/>
                <w:sz w:val="14"/>
                <w:szCs w:val="14"/>
                <w:color w:val="auto"/>
                <w:w w:val="93"/>
              </w:rPr>
              <w:t>(Zip Code)</w:t>
            </w:r>
          </w:p>
        </w:tc>
      </w:tr>
      <w:tr>
        <w:trPr>
          <w:trHeight w:val="396"/>
        </w:trPr>
        <w:tc>
          <w:tcPr>
            <w:tcW w:w="6280" w:type="dxa"/>
            <w:vAlign w:val="bottom"/>
          </w:tcPr>
          <w:p>
            <w:pPr>
              <w:jc w:val="center"/>
              <w:ind w:left="2124"/>
              <w:spacing w:after="0"/>
              <w:rPr>
                <w:sz w:val="20"/>
                <w:szCs w:val="20"/>
                <w:color w:val="auto"/>
              </w:rPr>
            </w:pPr>
            <w:r>
              <w:rPr>
                <w:rFonts w:ascii="Arial" w:cs="Arial" w:eastAsia="Arial" w:hAnsi="Arial"/>
                <w:sz w:val="16"/>
                <w:szCs w:val="16"/>
                <w:b w:val="1"/>
                <w:bCs w:val="1"/>
                <w:color w:val="auto"/>
                <w:w w:val="91"/>
              </w:rPr>
              <w:t>(214) 838-5500</w:t>
            </w:r>
          </w:p>
        </w:tc>
        <w:tc>
          <w:tcPr>
            <w:tcW w:w="1340" w:type="dxa"/>
            <w:vAlign w:val="bottom"/>
          </w:tcPr>
          <w:p>
            <w:pPr>
              <w:spacing w:after="0"/>
              <w:rPr>
                <w:sz w:val="24"/>
                <w:szCs w:val="24"/>
                <w:color w:val="auto"/>
              </w:rPr>
            </w:pPr>
          </w:p>
        </w:tc>
      </w:tr>
      <w:tr>
        <w:trPr>
          <w:trHeight w:val="182"/>
        </w:trPr>
        <w:tc>
          <w:tcPr>
            <w:tcW w:w="6280" w:type="dxa"/>
            <w:vAlign w:val="bottom"/>
          </w:tcPr>
          <w:p>
            <w:pPr>
              <w:jc w:val="center"/>
              <w:ind w:left="2104"/>
              <w:spacing w:after="0"/>
              <w:rPr>
                <w:sz w:val="20"/>
                <w:szCs w:val="20"/>
                <w:color w:val="auto"/>
              </w:rPr>
            </w:pPr>
            <w:r>
              <w:rPr>
                <w:rFonts w:ascii="Arial" w:cs="Arial" w:eastAsia="Arial" w:hAnsi="Arial"/>
                <w:sz w:val="14"/>
                <w:szCs w:val="14"/>
                <w:color w:val="auto"/>
                <w:w w:val="91"/>
              </w:rPr>
              <w:t>(Registrant's telephone number, including area code)</w:t>
            </w:r>
          </w:p>
        </w:tc>
        <w:tc>
          <w:tcPr>
            <w:tcW w:w="1340" w:type="dxa"/>
            <w:vAlign w:val="bottom"/>
          </w:tcPr>
          <w:p>
            <w:pPr>
              <w:spacing w:after="0"/>
              <w:rPr>
                <w:sz w:val="15"/>
                <w:szCs w:val="15"/>
                <w:color w:val="auto"/>
              </w:rPr>
            </w:pPr>
          </w:p>
        </w:tc>
      </w:tr>
      <w:tr>
        <w:trPr>
          <w:trHeight w:val="329"/>
        </w:trPr>
        <w:tc>
          <w:tcPr>
            <w:tcW w:w="6280" w:type="dxa"/>
            <w:vAlign w:val="bottom"/>
          </w:tcPr>
          <w:p>
            <w:pPr>
              <w:jc w:val="center"/>
              <w:ind w:left="2124"/>
              <w:spacing w:after="0"/>
              <w:rPr>
                <w:sz w:val="20"/>
                <w:szCs w:val="20"/>
                <w:color w:val="auto"/>
              </w:rPr>
            </w:pPr>
            <w:r>
              <w:rPr>
                <w:rFonts w:ascii="Arial" w:cs="Arial" w:eastAsia="Arial" w:hAnsi="Arial"/>
                <w:sz w:val="16"/>
                <w:szCs w:val="16"/>
                <w:b w:val="1"/>
                <w:bCs w:val="1"/>
                <w:color w:val="auto"/>
                <w:w w:val="91"/>
              </w:rPr>
              <w:t>Not applicable</w:t>
            </w:r>
          </w:p>
        </w:tc>
        <w:tc>
          <w:tcPr>
            <w:tcW w:w="1340" w:type="dxa"/>
            <w:vAlign w:val="bottom"/>
          </w:tcPr>
          <w:p>
            <w:pPr>
              <w:spacing w:after="0"/>
              <w:rPr>
                <w:sz w:val="24"/>
                <w:szCs w:val="24"/>
                <w:color w:val="auto"/>
              </w:rPr>
            </w:pPr>
          </w:p>
        </w:tc>
      </w:tr>
      <w:tr>
        <w:trPr>
          <w:trHeight w:val="182"/>
        </w:trPr>
        <w:tc>
          <w:tcPr>
            <w:tcW w:w="6280" w:type="dxa"/>
            <w:vAlign w:val="bottom"/>
          </w:tcPr>
          <w:p>
            <w:pPr>
              <w:jc w:val="center"/>
              <w:ind w:left="2124"/>
              <w:spacing w:after="0"/>
              <w:rPr>
                <w:sz w:val="20"/>
                <w:szCs w:val="20"/>
                <w:color w:val="auto"/>
              </w:rPr>
            </w:pPr>
            <w:r>
              <w:rPr>
                <w:rFonts w:ascii="Arial" w:cs="Arial" w:eastAsia="Arial" w:hAnsi="Arial"/>
                <w:sz w:val="14"/>
                <w:szCs w:val="14"/>
                <w:color w:val="auto"/>
                <w:w w:val="91"/>
              </w:rPr>
              <w:t>(Former name or former address, if changed since last report)</w:t>
            </w:r>
          </w:p>
        </w:tc>
        <w:tc>
          <w:tcPr>
            <w:tcW w:w="1340" w:type="dxa"/>
            <w:vAlign w:val="bottom"/>
          </w:tcPr>
          <w:p>
            <w:pPr>
              <w:spacing w:after="0"/>
              <w:rPr>
                <w:sz w:val="15"/>
                <w:szCs w:val="15"/>
                <w:color w:val="auto"/>
              </w:rPr>
            </w:pPr>
          </w:p>
        </w:tc>
      </w:tr>
    </w:tbl>
    <w:p>
      <w:pPr>
        <w:spacing w:after="0" w:line="141"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if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ind w:right="20"/>
        <w:spacing w:after="0" w:line="16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Rule-405 of Regulation S-T during the preceding 12 months (or for such shorter period that the registrant was required to submit and post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60" w:type="dxa"/>
            <w:vAlign w:val="bottom"/>
          </w:tcPr>
          <w:p>
            <w:pPr>
              <w:jc w:val="center"/>
              <w:ind w:right="2068"/>
              <w:spacing w:after="0"/>
              <w:rPr>
                <w:sz w:val="20"/>
                <w:szCs w:val="20"/>
                <w:color w:val="auto"/>
              </w:rPr>
            </w:pPr>
            <w:r>
              <w:rPr>
                <w:rFonts w:ascii="Arial" w:cs="Arial" w:eastAsia="Arial" w:hAnsi="Arial"/>
                <w:sz w:val="14"/>
                <w:szCs w:val="14"/>
                <w:color w:val="auto"/>
                <w:w w:val="76"/>
              </w:rPr>
              <w:t>o</w:t>
            </w:r>
          </w:p>
        </w:tc>
        <w:tc>
          <w:tcPr>
            <w:tcW w:w="422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jc w:val="center"/>
              <w:ind w:left="208"/>
              <w:spacing w:after="0"/>
              <w:rPr>
                <w:sz w:val="20"/>
                <w:szCs w:val="20"/>
                <w:color w:val="auto"/>
              </w:rPr>
            </w:pPr>
            <w:r>
              <w:rPr>
                <w:rFonts w:ascii="Arial" w:cs="Arial" w:eastAsia="Arial" w:hAnsi="Arial"/>
                <w:sz w:val="14"/>
                <w:szCs w:val="14"/>
                <w:color w:val="auto"/>
              </w:rPr>
              <w:t>o</w:t>
            </w:r>
          </w:p>
        </w:tc>
      </w:tr>
      <w:tr>
        <w:trPr>
          <w:trHeight w:val="271"/>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760" w:type="dxa"/>
            <w:vAlign w:val="bottom"/>
          </w:tcPr>
          <w:p>
            <w:pPr>
              <w:jc w:val="center"/>
              <w:ind w:right="2068"/>
              <w:spacing w:after="0" w:line="141" w:lineRule="exact"/>
              <w:rPr>
                <w:sz w:val="20"/>
                <w:szCs w:val="20"/>
                <w:color w:val="auto"/>
              </w:rPr>
            </w:pPr>
            <w:r>
              <w:rPr>
                <w:rFonts w:ascii="MS PGothic" w:cs="MS PGothic" w:eastAsia="MS PGothic" w:hAnsi="MS PGothic"/>
                <w:sz w:val="14"/>
                <w:szCs w:val="14"/>
                <w:color w:val="auto"/>
                <w:w w:val="99"/>
              </w:rPr>
              <w:t>☑</w:t>
            </w:r>
          </w:p>
        </w:tc>
        <w:tc>
          <w:tcPr>
            <w:tcW w:w="422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jc w:val="center"/>
              <w:ind w:left="208"/>
              <w:spacing w:after="0"/>
              <w:rPr>
                <w:sz w:val="20"/>
                <w:szCs w:val="20"/>
                <w:color w:val="auto"/>
              </w:rPr>
            </w:pPr>
            <w:r>
              <w:rPr>
                <w:rFonts w:ascii="Arial" w:cs="Arial" w:eastAsia="Arial" w:hAnsi="Arial"/>
                <w:sz w:val="14"/>
                <w:szCs w:val="14"/>
                <w:color w:val="auto"/>
              </w:rPr>
              <w:t>o</w:t>
            </w:r>
          </w:p>
        </w:tc>
      </w:tr>
      <w:tr>
        <w:trPr>
          <w:trHeight w:val="269"/>
        </w:trPr>
        <w:tc>
          <w:tcPr>
            <w:tcW w:w="15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220" w:type="dxa"/>
            <w:vAlign w:val="bottom"/>
          </w:tcPr>
          <w:p>
            <w:pPr>
              <w:ind w:left="23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23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o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6, 2018, there were 13,533,267 shares of Class A common stock outstanding and 22,746,667 shares of Class B common stock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32"/>
          <w:szCs w:val="32"/>
          <w:b w:val="1"/>
          <w:bCs w:val="1"/>
          <w:color w:val="auto"/>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7"/>
        </w:trPr>
        <w:tc>
          <w:tcPr>
            <w:tcW w:w="1160" w:type="dxa"/>
            <w:vAlign w:val="bottom"/>
            <w:gridSpan w:val="4"/>
          </w:tcPr>
          <w:p>
            <w:pPr>
              <w:spacing w:after="0"/>
              <w:rPr>
                <w:sz w:val="20"/>
                <w:szCs w:val="20"/>
                <w:color w:val="auto"/>
              </w:rPr>
            </w:pPr>
            <w:r>
              <w:rPr>
                <w:rFonts w:ascii="Arial" w:cs="Arial" w:eastAsia="Arial" w:hAnsi="Arial"/>
                <w:sz w:val="18"/>
                <w:szCs w:val="18"/>
                <w:b w:val="1"/>
                <w:bCs w:val="1"/>
                <w:color w:val="0000FF"/>
              </w:rPr>
              <w:t>Part I</w:t>
            </w:r>
          </w:p>
        </w:tc>
        <w:tc>
          <w:tcPr>
            <w:tcW w:w="8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8160" w:type="dxa"/>
            <w:vAlign w:val="bottom"/>
          </w:tcPr>
          <w:p>
            <w:pPr>
              <w:ind w:left="20"/>
              <w:spacing w:after="0"/>
              <w:rPr>
                <w:sz w:val="20"/>
                <w:szCs w:val="20"/>
                <w:color w:val="auto"/>
              </w:rPr>
            </w:pPr>
            <w:r>
              <w:rPr>
                <w:rFonts w:ascii="Arial" w:cs="Arial" w:eastAsia="Arial" w:hAnsi="Arial"/>
                <w:sz w:val="18"/>
                <w:szCs w:val="18"/>
                <w:color w:val="auto"/>
              </w:rPr>
              <w:t>Condensed Consolidated Financial Statements (Unaudited)</w:t>
            </w:r>
          </w:p>
        </w:tc>
        <w:tc>
          <w:tcPr>
            <w:tcW w:w="14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816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2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3.</w:t>
            </w:r>
          </w:p>
        </w:tc>
        <w:tc>
          <w:tcPr>
            <w:tcW w:w="816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14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816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14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571"/>
        </w:trPr>
        <w:tc>
          <w:tcPr>
            <w:tcW w:w="1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0000FF"/>
              </w:rPr>
              <w:t>Part II</w:t>
            </w:r>
          </w:p>
        </w:tc>
        <w:tc>
          <w:tcPr>
            <w:tcW w:w="8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8160" w:type="dxa"/>
            <w:vAlign w:val="bottom"/>
          </w:tcPr>
          <w:p>
            <w:pPr>
              <w:ind w:left="20"/>
              <w:spacing w:after="0"/>
              <w:rPr>
                <w:sz w:val="20"/>
                <w:szCs w:val="20"/>
                <w:color w:val="auto"/>
              </w:rPr>
            </w:pPr>
            <w:r>
              <w:rPr>
                <w:rFonts w:ascii="Arial" w:cs="Arial" w:eastAsia="Arial" w:hAnsi="Arial"/>
                <w:sz w:val="18"/>
                <w:szCs w:val="18"/>
                <w:color w:val="auto"/>
              </w:rPr>
              <w:t>Legal Matters</w:t>
            </w:r>
          </w:p>
        </w:tc>
        <w:tc>
          <w:tcPr>
            <w:tcW w:w="14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816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14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816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14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3.</w:t>
            </w:r>
          </w:p>
        </w:tc>
        <w:tc>
          <w:tcPr>
            <w:tcW w:w="816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14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8160" w:type="dxa"/>
            <w:vAlign w:val="bottom"/>
          </w:tcPr>
          <w:p>
            <w:pPr>
              <w:ind w:left="20"/>
              <w:spacing w:after="0"/>
              <w:rPr>
                <w:sz w:val="20"/>
                <w:szCs w:val="20"/>
                <w:color w:val="auto"/>
              </w:rPr>
            </w:pPr>
            <w:r>
              <w:rPr>
                <w:rFonts w:ascii="Arial" w:cs="Arial" w:eastAsia="Arial" w:hAnsi="Arial"/>
                <w:sz w:val="18"/>
                <w:szCs w:val="18"/>
                <w:color w:val="auto"/>
              </w:rPr>
              <w:t>Mine Safety</w:t>
            </w:r>
          </w:p>
        </w:tc>
        <w:tc>
          <w:tcPr>
            <w:tcW w:w="14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5.</w:t>
            </w:r>
          </w:p>
        </w:tc>
        <w:tc>
          <w:tcPr>
            <w:tcW w:w="816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4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Item 6.</w:t>
            </w:r>
          </w:p>
        </w:tc>
        <w:tc>
          <w:tcPr>
            <w:tcW w:w="8160" w:type="dxa"/>
            <w:vAlign w:val="bottom"/>
          </w:tcPr>
          <w:p>
            <w:pPr>
              <w:ind w:left="20"/>
              <w:spacing w:after="0"/>
              <w:rPr>
                <w:sz w:val="20"/>
                <w:szCs w:val="20"/>
                <w:color w:val="auto"/>
              </w:rPr>
            </w:pPr>
            <w:r>
              <w:rPr>
                <w:rFonts w:ascii="Arial" w:cs="Arial" w:eastAsia="Arial" w:hAnsi="Arial"/>
                <w:sz w:val="18"/>
                <w:szCs w:val="18"/>
                <w:color w:val="auto"/>
              </w:rPr>
              <w:t>Exhibits</w:t>
            </w:r>
          </w:p>
        </w:tc>
        <w:tc>
          <w:tcPr>
            <w:tcW w:w="142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160" w:type="dxa"/>
            <w:vAlign w:val="bottom"/>
            <w:gridSpan w:val="4"/>
            <w:vMerge w:val="restart"/>
          </w:tcPr>
          <w:p>
            <w:pPr>
              <w:spacing w:after="0"/>
              <w:rPr>
                <w:rFonts w:ascii="Arial" w:cs="Arial" w:eastAsia="Arial" w:hAnsi="Arial"/>
                <w:sz w:val="18"/>
                <w:szCs w:val="18"/>
                <w:b w:val="1"/>
                <w:bCs w:val="1"/>
                <w:color w:val="0000EE"/>
                <w:w w:val="96"/>
              </w:rPr>
            </w:pPr>
            <w:hyperlink w:anchor="page39">
              <w:r>
                <w:rPr>
                  <w:rFonts w:ascii="Arial" w:cs="Arial" w:eastAsia="Arial" w:hAnsi="Arial"/>
                  <w:sz w:val="18"/>
                  <w:szCs w:val="18"/>
                  <w:b w:val="1"/>
                  <w:bCs w:val="1"/>
                  <w:color w:val="0000EE"/>
                  <w:w w:val="96"/>
                </w:rPr>
                <w:t>SIGNATURES</w:t>
              </w:r>
            </w:hyperlink>
          </w:p>
        </w:tc>
        <w:tc>
          <w:tcPr>
            <w:tcW w:w="8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1160" w:type="dxa"/>
            <w:vAlign w:val="bottom"/>
            <w:gridSpan w:val="4"/>
            <w:vMerge w:val="continue"/>
          </w:tcPr>
          <w:p>
            <w:pPr>
              <w:spacing w:after="0"/>
              <w:rPr>
                <w:sz w:val="24"/>
                <w:szCs w:val="24"/>
                <w:color w:val="auto"/>
              </w:rPr>
            </w:pPr>
          </w:p>
        </w:tc>
        <w:tc>
          <w:tcPr>
            <w:tcW w:w="8160" w:type="dxa"/>
            <w:vAlign w:val="bottom"/>
          </w:tcPr>
          <w:p>
            <w:pPr>
              <w:spacing w:after="0"/>
              <w:rPr>
                <w:sz w:val="24"/>
                <w:szCs w:val="24"/>
                <w:color w:val="auto"/>
              </w:rPr>
            </w:pPr>
          </w:p>
        </w:tc>
        <w:tc>
          <w:tcPr>
            <w:tcW w:w="142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826"/>
        </w:trPr>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160" w:type="dxa"/>
            <w:vAlign w:val="bottom"/>
          </w:tcPr>
          <w:p>
            <w:pPr>
              <w:ind w:left="446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560" w:right="87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Commonly used defined terms</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used in this Quarterly Report on Form 10-Q ("Form 10-Q"), unless the context indicates or otherwise requires, the following terms have the following meanings:</w:t>
      </w:r>
    </w:p>
    <w:p>
      <w:pPr>
        <w:spacing w:after="0" w:line="104" w:lineRule="exact"/>
        <w:rPr>
          <w:sz w:val="20"/>
          <w:szCs w:val="20"/>
          <w:color w:val="auto"/>
        </w:rPr>
      </w:pP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Agency Fees: Fees separate from commissions charged directly to clients for efforts performed in the issuance of new insurance policies.</w:t>
      </w:r>
    </w:p>
    <w:p>
      <w:pPr>
        <w:spacing w:after="0" w:line="7" w:lineRule="exact"/>
        <w:rPr>
          <w:rFonts w:ascii="Arial" w:cs="Arial" w:eastAsia="Arial" w:hAnsi="Arial"/>
          <w:sz w:val="18"/>
          <w:szCs w:val="18"/>
          <w:color w:val="auto"/>
        </w:rPr>
      </w:pP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Carrier: An insurance company.</w:t>
      </w:r>
    </w:p>
    <w:p>
      <w:pPr>
        <w:spacing w:after="0" w:line="7" w:lineRule="exact"/>
        <w:rPr>
          <w:rFonts w:ascii="Arial" w:cs="Arial" w:eastAsia="Arial" w:hAnsi="Arial"/>
          <w:sz w:val="18"/>
          <w:szCs w:val="18"/>
          <w:color w:val="auto"/>
        </w:rPr>
      </w:pP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Carrier Appointment: A contractual relationship with a Carrier.</w:t>
      </w:r>
    </w:p>
    <w:p>
      <w:pPr>
        <w:spacing w:after="0" w:line="7" w:lineRule="exact"/>
        <w:rPr>
          <w:rFonts w:ascii="Arial" w:cs="Arial" w:eastAsia="Arial" w:hAnsi="Arial"/>
          <w:sz w:val="18"/>
          <w:szCs w:val="18"/>
          <w:color w:val="auto"/>
        </w:rPr>
      </w:pPr>
    </w:p>
    <w:p>
      <w:pPr>
        <w:ind w:left="280" w:right="30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Client Retention: Calculated by comparing the number of all clients that had at least one policy in force twelve months prior to the date of measurement and still have at least one policy in force at the date of measurement.</w:t>
      </w:r>
    </w:p>
    <w:p>
      <w:pPr>
        <w:ind w:left="280" w:right="16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Contingent Commission: Revenue in the form of contractual payments from Carriers contingent upon several factors, including growth and profitability of the business placed with the Carrier.</w:t>
      </w:r>
    </w:p>
    <w:p>
      <w:pPr>
        <w:ind w:left="280" w:right="54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Channel: The Corporate Channel distributes insurance through a network of company-owned and financed operations with employees that are hired, trained and managed by Goosehead.</w:t>
      </w:r>
    </w:p>
    <w:p>
      <w:pPr>
        <w:ind w:left="280" w:right="52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Channel Adjusted EBITDA: Segment earnings before interest, income taxes, depreciation and amortization allocable to the Corporate Channel, adjusted to exclude equity-based compensation.</w:t>
      </w: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 Agreement: Agreements governing our relationships with Franchisees.</w:t>
      </w:r>
    </w:p>
    <w:p>
      <w:pPr>
        <w:spacing w:after="0" w:line="7" w:lineRule="exact"/>
        <w:rPr>
          <w:rFonts w:ascii="Arial" w:cs="Arial" w:eastAsia="Arial" w:hAnsi="Arial"/>
          <w:sz w:val="18"/>
          <w:szCs w:val="18"/>
          <w:color w:val="auto"/>
        </w:rPr>
      </w:pPr>
    </w:p>
    <w:p>
      <w:pPr>
        <w:ind w:left="28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 Channel: The Franchise Channel network consists of Franchisee operations that are owned and managed by Franchisees. These business owners have a contractual relationship with Goosehead to use our processes, training, implementation, systems and back-office support team to place insurance. In exchange, Goosehead is entitled to an Initial Franchise Fee and Royalty Fees.</w:t>
      </w:r>
    </w:p>
    <w:p>
      <w:pPr>
        <w:ind w:left="280" w:right="16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 Channel Adjusted EBITDA: Segment earnings before interest, income taxes, depreciation and amortization, adjusted to exclude other non-operating items allocable to the Franchise Channel and equity-based compensation.</w:t>
      </w: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Franchisee: An individual or entity who has entered into a Franchise Agreement with us.</w:t>
      </w:r>
    </w:p>
    <w:p>
      <w:pPr>
        <w:spacing w:after="0" w:line="7" w:lineRule="exact"/>
        <w:rPr>
          <w:rFonts w:ascii="Arial" w:cs="Arial" w:eastAsia="Arial" w:hAnsi="Arial"/>
          <w:sz w:val="18"/>
          <w:szCs w:val="18"/>
          <w:color w:val="auto"/>
        </w:rPr>
      </w:pPr>
    </w:p>
    <w:p>
      <w:pPr>
        <w:ind w:left="280" w:right="42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Franchise Fee: Contracted fees paid by Franchisees to compensate Goosehead for the training and onboarding of new franchise locations.</w:t>
      </w: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Unit: a limited liability company unit of Goosehead Financial, LLC.</w:t>
      </w:r>
    </w:p>
    <w:p>
      <w:pPr>
        <w:spacing w:after="0" w:line="7" w:lineRule="exact"/>
        <w:rPr>
          <w:rFonts w:ascii="Arial" w:cs="Arial" w:eastAsia="Arial" w:hAnsi="Arial"/>
          <w:sz w:val="18"/>
          <w:szCs w:val="18"/>
          <w:color w:val="auto"/>
        </w:rPr>
      </w:pPr>
    </w:p>
    <w:p>
      <w:pPr>
        <w:ind w:left="280" w:right="74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Revenue: Commissions received from Carriers, Agency Fees received from clients, and Royalty Fees received from Franchisees relating to policies in their first term.</w:t>
      </w:r>
    </w:p>
    <w:p>
      <w:pPr>
        <w:ind w:left="280" w:right="26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Revenue (Corporate): Commissions received from Carriers and Agency Fees charged to clients relating to policies in their first term sold in the Corporate Channel.</w:t>
      </w:r>
    </w:p>
    <w:p>
      <w:pPr>
        <w:ind w:left="280" w:right="26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NPS: Net Promoter Score is calculated based on a single question: “How likely are you to refer Goosehead Insurance to a friend, family member or colleague?” Customers that respond with a 6 or below are Detractors, a score of 7 or 8 are called Passives, and a 9 or 10 are Promoters. NPS is calculated by subtracting the percentage of Detractors from the percentage of Promoters.</w:t>
      </w: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Policies in Force: As of any reported date, the total count of current (non-cancelled) policies placed by us with our Carriers.</w:t>
      </w:r>
    </w:p>
    <w:p>
      <w:pPr>
        <w:spacing w:after="0" w:line="7" w:lineRule="exact"/>
        <w:rPr>
          <w:rFonts w:ascii="Arial" w:cs="Arial" w:eastAsia="Arial" w:hAnsi="Arial"/>
          <w:sz w:val="18"/>
          <w:szCs w:val="18"/>
          <w:color w:val="auto"/>
        </w:rPr>
      </w:pPr>
    </w:p>
    <w:p>
      <w:pPr>
        <w:ind w:left="28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Pre-IPO LLC Members: The members of Goosehead Financial, LLC prior to the closing of the initial public offering of Goosehead Insurance, Inc., which primarily consist of members of management.</w:t>
      </w: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Renewal Revenue: Commissions received from Carriers and Royalty Fees received from Franchisees after the first term of policies.</w:t>
      </w:r>
    </w:p>
    <w:p>
      <w:pPr>
        <w:spacing w:after="0" w:line="7" w:lineRule="exact"/>
        <w:rPr>
          <w:rFonts w:ascii="Arial" w:cs="Arial" w:eastAsia="Arial" w:hAnsi="Arial"/>
          <w:sz w:val="18"/>
          <w:szCs w:val="18"/>
          <w:color w:val="auto"/>
        </w:rPr>
      </w:pP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Renewal Revenue (Corporate): Commissions received from Carriers after the first term of policies originally sold in the Corporate Channel.</w:t>
      </w:r>
    </w:p>
    <w:p>
      <w:pPr>
        <w:spacing w:after="0" w:line="7" w:lineRule="exact"/>
        <w:rPr>
          <w:rFonts w:ascii="Arial" w:cs="Arial" w:eastAsia="Arial" w:hAnsi="Arial"/>
          <w:sz w:val="18"/>
          <w:szCs w:val="18"/>
          <w:color w:val="auto"/>
        </w:rPr>
      </w:pPr>
    </w:p>
    <w:p>
      <w:pPr>
        <w:ind w:left="280" w:right="80" w:hanging="273"/>
        <w:spacing w:after="0" w:line="24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Royalty Fees: Fees paid by Franchisees to the Company that are tied to the gross commissions paid by the Carriers related to policies sold or renewed in the Franchise Channel.</w:t>
      </w: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Segment: One of the two Goosehead sales distribution channels, the Corporate Channel or the Franchise Channel.</w:t>
      </w:r>
    </w:p>
    <w:p>
      <w:pPr>
        <w:spacing w:after="0" w:line="7" w:lineRule="exact"/>
        <w:rPr>
          <w:rFonts w:ascii="Arial" w:cs="Arial" w:eastAsia="Arial" w:hAnsi="Arial"/>
          <w:sz w:val="18"/>
          <w:szCs w:val="18"/>
          <w:color w:val="auto"/>
        </w:rPr>
      </w:pPr>
    </w:p>
    <w:p>
      <w:pPr>
        <w:ind w:left="280" w:hanging="273"/>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Segment Adjusted EBITDA: Either Corporate Channel Adjusted EBITDA or Franchise Channel Adjusted EBITDA.</w:t>
      </w:r>
    </w:p>
    <w:p>
      <w:pPr>
        <w:spacing w:after="0" w:line="7" w:lineRule="exact"/>
        <w:rPr>
          <w:rFonts w:ascii="Arial" w:cs="Arial" w:eastAsia="Arial" w:hAnsi="Arial"/>
          <w:sz w:val="18"/>
          <w:szCs w:val="18"/>
          <w:color w:val="auto"/>
        </w:rPr>
      </w:pPr>
    </w:p>
    <w:p>
      <w:pPr>
        <w:ind w:left="280" w:right="80" w:hanging="273"/>
        <w:spacing w:after="0" w:line="259"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Written Premium: As of any reported date, the total amount of current (non-cancelled) gross premium that is placed with Goosehead’s portfolio of Carriers.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792" w:right="29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auto"/>
        </w:rPr>
        <w:t>Special note regarding forward-looking statements</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have made statements in this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“Risk factors” in our prospectus (the “Final Prospectus”) relating to our Registration Statement on Form S-1, as amended (Registration No. 333-224080), filed with the U.S. Securities and Exchange Commission (the “SEC”) pursuant to Rule 424(b) under the U.S. Securities Act of 1933, as amended. You should specifically consider the numerous risks outlined under “Risk factors” in the Final Prospectus.</w:t>
      </w:r>
    </w:p>
    <w:p>
      <w:pPr>
        <w:spacing w:after="0" w:line="8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forward-looking statements included in this Form 10-Q are made only as of the date hereof. 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prospectus to conform our prior statements to actual results or revised expectations.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2" w:right="2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PART I</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Condensed Consolidated Financial Statements (Unaudited)</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Page</w:t>
            </w:r>
          </w:p>
        </w:tc>
      </w:tr>
      <w:tr>
        <w:trPr>
          <w:trHeight w:val="215"/>
        </w:trPr>
        <w:tc>
          <w:tcPr>
            <w:tcW w:w="33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Consolidated Balance Sheets</w:t>
            </w:r>
          </w:p>
        </w:tc>
        <w:tc>
          <w:tcPr>
            <w:tcW w:w="3280" w:type="dxa"/>
            <w:vAlign w:val="bottom"/>
            <w:gridSpan w:val="10"/>
          </w:tcPr>
          <w:p>
            <w:pPr>
              <w:spacing w:after="0"/>
              <w:rPr>
                <w:sz w:val="18"/>
                <w:szCs w:val="18"/>
                <w:color w:val="auto"/>
              </w:rPr>
            </w:pPr>
          </w:p>
        </w:tc>
        <w:tc>
          <w:tcPr>
            <w:tcW w:w="210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35"/>
        </w:trPr>
        <w:tc>
          <w:tcPr>
            <w:tcW w:w="38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Condensed Consolidated Statements of Income</w:t>
            </w:r>
          </w:p>
        </w:tc>
        <w:tc>
          <w:tcPr>
            <w:tcW w:w="2800" w:type="dxa"/>
            <w:vAlign w:val="bottom"/>
            <w:gridSpan w:val="7"/>
          </w:tcPr>
          <w:p>
            <w:pPr>
              <w:spacing w:after="0"/>
              <w:rPr>
                <w:sz w:val="20"/>
                <w:szCs w:val="20"/>
                <w:color w:val="auto"/>
              </w:rPr>
            </w:pPr>
          </w:p>
        </w:tc>
        <w:tc>
          <w:tcPr>
            <w:tcW w:w="2100" w:type="dxa"/>
            <w:vAlign w:val="bottom"/>
            <w:gridSpan w:val="2"/>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35"/>
        </w:trPr>
        <w:tc>
          <w:tcPr>
            <w:tcW w:w="660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220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35"/>
        </w:trPr>
        <w:tc>
          <w:tcPr>
            <w:tcW w:w="482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Condensed Consolidated Statements of Cash Flows</w:t>
            </w:r>
          </w:p>
        </w:tc>
        <w:tc>
          <w:tcPr>
            <w:tcW w:w="1780" w:type="dxa"/>
            <w:vAlign w:val="bottom"/>
          </w:tcPr>
          <w:p>
            <w:pPr>
              <w:spacing w:after="0"/>
              <w:rPr>
                <w:sz w:val="20"/>
                <w:szCs w:val="20"/>
                <w:color w:val="auto"/>
              </w:rPr>
            </w:pPr>
          </w:p>
        </w:tc>
        <w:tc>
          <w:tcPr>
            <w:tcW w:w="2100" w:type="dxa"/>
            <w:vAlign w:val="bottom"/>
            <w:gridSpan w:val="2"/>
          </w:tcPr>
          <w:p>
            <w:pPr>
              <w:spacing w:after="0"/>
              <w:rPr>
                <w:sz w:val="20"/>
                <w:szCs w:val="20"/>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r>
      <w:tr>
        <w:trPr>
          <w:trHeight w:val="20"/>
        </w:trPr>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5"/>
        </w:trPr>
        <w:tc>
          <w:tcPr>
            <w:tcW w:w="6600" w:type="dxa"/>
            <w:vAlign w:val="bottom"/>
            <w:gridSpan w:val="22"/>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220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35"/>
        </w:trPr>
        <w:tc>
          <w:tcPr>
            <w:tcW w:w="100" w:type="dxa"/>
            <w:vAlign w:val="bottom"/>
            <w:tcBorders>
              <w:top w:val="single" w:sz="8" w:color="0000FF"/>
            </w:tcBorders>
          </w:tcPr>
          <w:p>
            <w:pPr>
              <w:spacing w:after="0"/>
              <w:rPr>
                <w:sz w:val="20"/>
                <w:szCs w:val="20"/>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7"/>
              </w:rPr>
              <w:t>Note 1</w:t>
            </w:r>
          </w:p>
        </w:tc>
        <w:tc>
          <w:tcPr>
            <w:tcW w:w="620" w:type="dxa"/>
            <w:vAlign w:val="bottom"/>
            <w:tcBorders>
              <w:top w:val="single" w:sz="8" w:color="0000FF"/>
            </w:tcBorders>
            <w:gridSpan w:val="2"/>
          </w:tcPr>
          <w:p>
            <w:pPr>
              <w:spacing w:after="0"/>
              <w:rPr>
                <w:sz w:val="20"/>
                <w:szCs w:val="20"/>
                <w:color w:val="auto"/>
              </w:rPr>
            </w:pPr>
          </w:p>
        </w:tc>
        <w:tc>
          <w:tcPr>
            <w:tcW w:w="10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Organization</w:t>
            </w:r>
          </w:p>
        </w:tc>
        <w:tc>
          <w:tcPr>
            <w:tcW w:w="2460" w:type="dxa"/>
            <w:vAlign w:val="bottom"/>
            <w:tcBorders>
              <w:top w:val="single" w:sz="8" w:color="0000FF"/>
            </w:tcBorders>
            <w:gridSpan w:val="14"/>
          </w:tcPr>
          <w:p>
            <w:pPr>
              <w:spacing w:after="0"/>
              <w:rPr>
                <w:sz w:val="20"/>
                <w:szCs w:val="20"/>
                <w:color w:val="auto"/>
              </w:rPr>
            </w:pPr>
          </w:p>
        </w:tc>
        <w:tc>
          <w:tcPr>
            <w:tcW w:w="1860" w:type="dxa"/>
            <w:vAlign w:val="bottom"/>
            <w:gridSpan w:val="2"/>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r>
      <w:tr>
        <w:trPr>
          <w:trHeight w:val="235"/>
        </w:trPr>
        <w:tc>
          <w:tcPr>
            <w:tcW w:w="1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2</w:t>
            </w:r>
          </w:p>
        </w:tc>
        <w:tc>
          <w:tcPr>
            <w:tcW w:w="620" w:type="dxa"/>
            <w:vAlign w:val="bottom"/>
            <w:gridSpan w:val="2"/>
          </w:tcPr>
          <w:p>
            <w:pPr>
              <w:spacing w:after="0"/>
              <w:rPr>
                <w:sz w:val="20"/>
                <w:szCs w:val="20"/>
                <w:color w:val="auto"/>
              </w:rPr>
            </w:pPr>
          </w:p>
        </w:tc>
        <w:tc>
          <w:tcPr>
            <w:tcW w:w="5340" w:type="dxa"/>
            <w:vAlign w:val="bottom"/>
            <w:gridSpan w:val="18"/>
          </w:tcPr>
          <w:p>
            <w:pPr>
              <w:spacing w:after="0"/>
              <w:rPr>
                <w:sz w:val="20"/>
                <w:szCs w:val="20"/>
                <w:color w:val="auto"/>
              </w:rPr>
            </w:pPr>
            <w:r>
              <w:rPr>
                <w:rFonts w:ascii="Arial" w:cs="Arial" w:eastAsia="Arial" w:hAnsi="Arial"/>
                <w:sz w:val="18"/>
                <w:szCs w:val="18"/>
                <w:color w:val="0000FF"/>
              </w:rPr>
              <w:t>Summary of Significant Accounting Policies</w:t>
            </w:r>
          </w:p>
        </w:tc>
        <w:tc>
          <w:tcPr>
            <w:tcW w:w="220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35"/>
        </w:trPr>
        <w:tc>
          <w:tcPr>
            <w:tcW w:w="10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3</w:t>
            </w:r>
          </w:p>
        </w:tc>
        <w:tc>
          <w:tcPr>
            <w:tcW w:w="620" w:type="dxa"/>
            <w:vAlign w:val="bottom"/>
            <w:gridSpan w:val="2"/>
          </w:tcPr>
          <w:p>
            <w:pPr>
              <w:spacing w:after="0"/>
              <w:rPr>
                <w:sz w:val="20"/>
                <w:szCs w:val="20"/>
                <w:color w:val="auto"/>
              </w:rPr>
            </w:pPr>
          </w:p>
        </w:tc>
        <w:tc>
          <w:tcPr>
            <w:tcW w:w="34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Franchise Fees Receivable</w:t>
            </w:r>
          </w:p>
        </w:tc>
        <w:tc>
          <w:tcPr>
            <w:tcW w:w="1900" w:type="dxa"/>
            <w:vAlign w:val="bottom"/>
            <w:gridSpan w:val="3"/>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12</w:t>
              </w:r>
            </w:hyperlink>
          </w:p>
        </w:tc>
      </w:tr>
      <w:tr>
        <w:trPr>
          <w:trHeight w:val="20"/>
        </w:trPr>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5"/>
        </w:trPr>
        <w:tc>
          <w:tcPr>
            <w:tcW w:w="100" w:type="dxa"/>
            <w:vAlign w:val="bottom"/>
          </w:tcPr>
          <w:p>
            <w:pPr>
              <w:spacing w:after="0"/>
              <w:rPr>
                <w:sz w:val="20"/>
                <w:szCs w:val="20"/>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4</w:t>
            </w:r>
          </w:p>
        </w:tc>
        <w:tc>
          <w:tcPr>
            <w:tcW w:w="620" w:type="dxa"/>
            <w:vAlign w:val="bottom"/>
            <w:gridSpan w:val="2"/>
          </w:tcPr>
          <w:p>
            <w:pPr>
              <w:spacing w:after="0"/>
              <w:rPr>
                <w:sz w:val="20"/>
                <w:szCs w:val="20"/>
                <w:color w:val="auto"/>
              </w:rPr>
            </w:pPr>
          </w:p>
        </w:tc>
        <w:tc>
          <w:tcPr>
            <w:tcW w:w="32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Allowance for Uncollectible Agency Fees</w:t>
            </w:r>
          </w:p>
        </w:tc>
        <w:tc>
          <w:tcPr>
            <w:tcW w:w="2100" w:type="dxa"/>
            <w:vAlign w:val="bottom"/>
            <w:gridSpan w:val="4"/>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13</w:t>
              </w:r>
            </w:hyperlink>
          </w:p>
        </w:tc>
      </w:tr>
      <w:tr>
        <w:trPr>
          <w:trHeight w:val="235"/>
        </w:trPr>
        <w:tc>
          <w:tcPr>
            <w:tcW w:w="100" w:type="dxa"/>
            <w:vAlign w:val="bottom"/>
          </w:tcPr>
          <w:p>
            <w:pPr>
              <w:spacing w:after="0"/>
              <w:rPr>
                <w:sz w:val="20"/>
                <w:szCs w:val="20"/>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5</w:t>
            </w:r>
          </w:p>
        </w:tc>
        <w:tc>
          <w:tcPr>
            <w:tcW w:w="620" w:type="dxa"/>
            <w:vAlign w:val="bottom"/>
            <w:gridSpan w:val="2"/>
          </w:tcPr>
          <w:p>
            <w:pPr>
              <w:spacing w:after="0"/>
              <w:rPr>
                <w:sz w:val="20"/>
                <w:szCs w:val="20"/>
                <w:color w:val="auto"/>
              </w:rPr>
            </w:pPr>
          </w:p>
        </w:tc>
        <w:tc>
          <w:tcPr>
            <w:tcW w:w="10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Payable</w:t>
            </w:r>
          </w:p>
        </w:tc>
        <w:tc>
          <w:tcPr>
            <w:tcW w:w="4260" w:type="dxa"/>
            <w:vAlign w:val="bottom"/>
            <w:gridSpan w:val="15"/>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13</w:t>
              </w:r>
            </w:hyperlink>
          </w:p>
        </w:tc>
      </w:tr>
      <w:tr>
        <w:trPr>
          <w:trHeight w:val="235"/>
        </w:trPr>
        <w:tc>
          <w:tcPr>
            <w:tcW w:w="100" w:type="dxa"/>
            <w:vAlign w:val="bottom"/>
          </w:tcPr>
          <w:p>
            <w:pPr>
              <w:spacing w:after="0"/>
              <w:rPr>
                <w:sz w:val="20"/>
                <w:szCs w:val="20"/>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6</w:t>
            </w:r>
          </w:p>
        </w:tc>
        <w:tc>
          <w:tcPr>
            <w:tcW w:w="620" w:type="dxa"/>
            <w:vAlign w:val="bottom"/>
            <w:gridSpan w:val="2"/>
          </w:tcPr>
          <w:p>
            <w:pPr>
              <w:spacing w:after="0"/>
              <w:rPr>
                <w:sz w:val="20"/>
                <w:szCs w:val="20"/>
                <w:color w:val="auto"/>
              </w:rPr>
            </w:pPr>
          </w:p>
        </w:tc>
        <w:tc>
          <w:tcPr>
            <w:tcW w:w="26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Commitments and Contingencies</w:t>
            </w:r>
          </w:p>
        </w:tc>
        <w:tc>
          <w:tcPr>
            <w:tcW w:w="2700" w:type="dxa"/>
            <w:vAlign w:val="bottom"/>
            <w:gridSpan w:val="6"/>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r>
      <w:tr>
        <w:trPr>
          <w:trHeight w:val="235"/>
        </w:trPr>
        <w:tc>
          <w:tcPr>
            <w:tcW w:w="1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7</w:t>
            </w:r>
          </w:p>
        </w:tc>
        <w:tc>
          <w:tcPr>
            <w:tcW w:w="620" w:type="dxa"/>
            <w:vAlign w:val="bottom"/>
            <w:gridSpan w:val="2"/>
          </w:tcPr>
          <w:p>
            <w:pPr>
              <w:spacing w:after="0"/>
              <w:rPr>
                <w:sz w:val="20"/>
                <w:szCs w:val="20"/>
                <w:color w:val="auto"/>
              </w:rPr>
            </w:pPr>
          </w:p>
        </w:tc>
        <w:tc>
          <w:tcPr>
            <w:tcW w:w="5340" w:type="dxa"/>
            <w:vAlign w:val="bottom"/>
            <w:gridSpan w:val="18"/>
          </w:tcPr>
          <w:p>
            <w:pPr>
              <w:spacing w:after="0"/>
              <w:rPr>
                <w:sz w:val="20"/>
                <w:szCs w:val="20"/>
                <w:color w:val="auto"/>
              </w:rPr>
            </w:pPr>
            <w:r>
              <w:rPr>
                <w:rFonts w:ascii="Arial" w:cs="Arial" w:eastAsia="Arial" w:hAnsi="Arial"/>
                <w:sz w:val="18"/>
                <w:szCs w:val="18"/>
                <w:color w:val="0000FF"/>
              </w:rPr>
              <w:t>Income Taxes</w:t>
            </w:r>
          </w:p>
        </w:tc>
        <w:tc>
          <w:tcPr>
            <w:tcW w:w="220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35"/>
        </w:trPr>
        <w:tc>
          <w:tcPr>
            <w:tcW w:w="10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8</w:t>
            </w:r>
          </w:p>
        </w:tc>
        <w:tc>
          <w:tcPr>
            <w:tcW w:w="620" w:type="dxa"/>
            <w:vAlign w:val="bottom"/>
            <w:gridSpan w:val="2"/>
          </w:tcPr>
          <w:p>
            <w:pPr>
              <w:spacing w:after="0"/>
              <w:rPr>
                <w:sz w:val="20"/>
                <w:szCs w:val="20"/>
                <w:color w:val="auto"/>
              </w:rPr>
            </w:pPr>
          </w:p>
        </w:tc>
        <w:tc>
          <w:tcPr>
            <w:tcW w:w="11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Other Income</w:t>
            </w:r>
          </w:p>
        </w:tc>
        <w:tc>
          <w:tcPr>
            <w:tcW w:w="4240" w:type="dxa"/>
            <w:vAlign w:val="bottom"/>
            <w:gridSpan w:val="14"/>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r>
      <w:tr>
        <w:trPr>
          <w:trHeight w:val="20"/>
        </w:trPr>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5"/>
        </w:trPr>
        <w:tc>
          <w:tcPr>
            <w:tcW w:w="100" w:type="dxa"/>
            <w:vAlign w:val="bottom"/>
          </w:tcPr>
          <w:p>
            <w:pPr>
              <w:spacing w:after="0"/>
              <w:rPr>
                <w:sz w:val="20"/>
                <w:szCs w:val="20"/>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9</w:t>
            </w:r>
          </w:p>
        </w:tc>
        <w:tc>
          <w:tcPr>
            <w:tcW w:w="620" w:type="dxa"/>
            <w:vAlign w:val="bottom"/>
            <w:gridSpan w:val="2"/>
          </w:tcPr>
          <w:p>
            <w:pPr>
              <w:spacing w:after="0"/>
              <w:rPr>
                <w:sz w:val="20"/>
                <w:szCs w:val="20"/>
                <w:color w:val="auto"/>
              </w:rPr>
            </w:pPr>
          </w:p>
        </w:tc>
        <w:tc>
          <w:tcPr>
            <w:tcW w:w="16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Stockholder's Equity</w:t>
            </w:r>
          </w:p>
        </w:tc>
        <w:tc>
          <w:tcPr>
            <w:tcW w:w="3720" w:type="dxa"/>
            <w:vAlign w:val="bottom"/>
            <w:gridSpan w:val="12"/>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r>
      <w:tr>
        <w:trPr>
          <w:trHeight w:val="235"/>
        </w:trPr>
        <w:tc>
          <w:tcPr>
            <w:tcW w:w="10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Note 10</w:t>
            </w:r>
          </w:p>
        </w:tc>
        <w:tc>
          <w:tcPr>
            <w:tcW w:w="520" w:type="dxa"/>
            <w:vAlign w:val="bottom"/>
          </w:tcPr>
          <w:p>
            <w:pPr>
              <w:spacing w:after="0"/>
              <w:rPr>
                <w:sz w:val="20"/>
                <w:szCs w:val="20"/>
                <w:color w:val="auto"/>
              </w:rPr>
            </w:pPr>
          </w:p>
        </w:tc>
        <w:tc>
          <w:tcPr>
            <w:tcW w:w="5340" w:type="dxa"/>
            <w:vAlign w:val="bottom"/>
            <w:gridSpan w:val="18"/>
          </w:tcPr>
          <w:p>
            <w:pPr>
              <w:spacing w:after="0"/>
              <w:rPr>
                <w:sz w:val="20"/>
                <w:szCs w:val="20"/>
                <w:color w:val="auto"/>
              </w:rPr>
            </w:pPr>
            <w:r>
              <w:rPr>
                <w:rFonts w:ascii="Arial" w:cs="Arial" w:eastAsia="Arial" w:hAnsi="Arial"/>
                <w:sz w:val="18"/>
                <w:szCs w:val="18"/>
                <w:color w:val="0000FF"/>
              </w:rPr>
              <w:t>Equity-Based Compensation</w:t>
            </w:r>
          </w:p>
        </w:tc>
        <w:tc>
          <w:tcPr>
            <w:tcW w:w="220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35"/>
        </w:trPr>
        <w:tc>
          <w:tcPr>
            <w:tcW w:w="100" w:type="dxa"/>
            <w:vAlign w:val="bottom"/>
          </w:tcPr>
          <w:p>
            <w:pPr>
              <w:spacing w:after="0"/>
              <w:rPr>
                <w:sz w:val="20"/>
                <w:szCs w:val="20"/>
                <w:color w:val="auto"/>
              </w:rPr>
            </w:pPr>
          </w:p>
        </w:tc>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8"/>
              </w:rPr>
              <w:t>Note 11</w:t>
            </w:r>
          </w:p>
        </w:tc>
        <w:tc>
          <w:tcPr>
            <w:tcW w:w="520" w:type="dxa"/>
            <w:vAlign w:val="bottom"/>
          </w:tcPr>
          <w:p>
            <w:pPr>
              <w:spacing w:after="0"/>
              <w:rPr>
                <w:sz w:val="20"/>
                <w:szCs w:val="20"/>
                <w:color w:val="auto"/>
              </w:rPr>
            </w:pPr>
          </w:p>
        </w:tc>
        <w:tc>
          <w:tcPr>
            <w:tcW w:w="22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Segment Information</w:t>
            </w:r>
          </w:p>
        </w:tc>
        <w:tc>
          <w:tcPr>
            <w:tcW w:w="3080" w:type="dxa"/>
            <w:vAlign w:val="bottom"/>
            <w:gridSpan w:val="8"/>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r>
      <w:tr>
        <w:trPr>
          <w:trHeight w:val="235"/>
        </w:trPr>
        <w:tc>
          <w:tcPr>
            <w:tcW w:w="100" w:type="dxa"/>
            <w:vAlign w:val="bottom"/>
          </w:tcPr>
          <w:p>
            <w:pPr>
              <w:spacing w:after="0"/>
              <w:rPr>
                <w:sz w:val="20"/>
                <w:szCs w:val="20"/>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12</w:t>
            </w:r>
          </w:p>
        </w:tc>
        <w:tc>
          <w:tcPr>
            <w:tcW w:w="520" w:type="dxa"/>
            <w:vAlign w:val="bottom"/>
          </w:tcPr>
          <w:p>
            <w:pPr>
              <w:spacing w:after="0"/>
              <w:rPr>
                <w:sz w:val="20"/>
                <w:szCs w:val="20"/>
                <w:color w:val="auto"/>
              </w:rPr>
            </w:pPr>
          </w:p>
        </w:tc>
        <w:tc>
          <w:tcPr>
            <w:tcW w:w="7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7"/>
              </w:rPr>
              <w:t>Litigation</w:t>
            </w:r>
          </w:p>
        </w:tc>
        <w:tc>
          <w:tcPr>
            <w:tcW w:w="940" w:type="dxa"/>
            <w:vAlign w:val="bottom"/>
            <w:tcBorders>
              <w:top w:val="single" w:sz="8" w:color="0000FF"/>
            </w:tcBorders>
            <w:gridSpan w:val="6"/>
          </w:tcPr>
          <w:p>
            <w:pPr>
              <w:spacing w:after="0"/>
              <w:rPr>
                <w:sz w:val="20"/>
                <w:szCs w:val="20"/>
                <w:color w:val="auto"/>
              </w:rPr>
            </w:pPr>
          </w:p>
        </w:tc>
        <w:tc>
          <w:tcPr>
            <w:tcW w:w="3680" w:type="dxa"/>
            <w:vAlign w:val="bottom"/>
            <w:gridSpan w:val="11"/>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r>
      <w:tr>
        <w:trPr>
          <w:trHeight w:val="235"/>
        </w:trPr>
        <w:tc>
          <w:tcPr>
            <w:tcW w:w="100" w:type="dxa"/>
            <w:vAlign w:val="bottom"/>
          </w:tcPr>
          <w:p>
            <w:pPr>
              <w:spacing w:after="0"/>
              <w:rPr>
                <w:sz w:val="20"/>
                <w:szCs w:val="20"/>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Note 13</w:t>
            </w:r>
          </w:p>
        </w:tc>
        <w:tc>
          <w:tcPr>
            <w:tcW w:w="520" w:type="dxa"/>
            <w:vAlign w:val="bottom"/>
          </w:tcPr>
          <w:p>
            <w:pPr>
              <w:spacing w:after="0"/>
              <w:rPr>
                <w:sz w:val="20"/>
                <w:szCs w:val="20"/>
                <w:color w:val="auto"/>
              </w:rPr>
            </w:pPr>
          </w:p>
        </w:tc>
        <w:tc>
          <w:tcPr>
            <w:tcW w:w="15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Subsequent Events</w:t>
            </w:r>
          </w:p>
        </w:tc>
        <w:tc>
          <w:tcPr>
            <w:tcW w:w="3780" w:type="dxa"/>
            <w:vAlign w:val="bottom"/>
            <w:gridSpan w:val="13"/>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r>
      <w:tr>
        <w:trPr>
          <w:trHeight w:val="491"/>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40" w:type="dxa"/>
            <w:vAlign w:val="bottom"/>
            <w:gridSpan w:val="14"/>
          </w:tcPr>
          <w:p>
            <w:pPr>
              <w:ind w:left="30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19"/>
          </w:cols>
          <w:pgMar w:left="240" w:top="577" w:right="1440"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Goosehead Insurance, Inc.</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(Unaudited)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18,067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49"/>
        </w:trPr>
        <w:tc>
          <w:tcPr>
            <w:tcW w:w="8120" w:type="dxa"/>
            <w:vAlign w:val="bottom"/>
          </w:tcPr>
          <w:p>
            <w:pPr>
              <w:ind w:left="16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62"/>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Commissions and agency fees receivable, net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49"/>
        </w:trPr>
        <w:tc>
          <w:tcPr>
            <w:tcW w:w="8120" w:type="dxa"/>
            <w:vAlign w:val="bottom"/>
          </w:tcPr>
          <w:p>
            <w:pPr>
              <w:ind w:left="160"/>
              <w:spacing w:after="0"/>
              <w:rPr>
                <w:sz w:val="20"/>
                <w:szCs w:val="20"/>
                <w:color w:val="auto"/>
              </w:rPr>
            </w:pPr>
            <w:r>
              <w:rPr>
                <w:rFonts w:ascii="Arial" w:cs="Arial" w:eastAsia="Arial" w:hAnsi="Arial"/>
                <w:sz w:val="16"/>
                <w:szCs w:val="16"/>
                <w:color w:val="auto"/>
              </w:rPr>
              <w:t>Receivable from franchisees, net</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62"/>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expenses</w:t>
            </w: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2"/>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21,943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62"/>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Receivable from franchisees, net of current portion</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49"/>
        </w:trPr>
        <w:tc>
          <w:tcPr>
            <w:tcW w:w="8120" w:type="dxa"/>
            <w:vAlign w:val="bottom"/>
          </w:tcPr>
          <w:p>
            <w:pPr>
              <w:ind w:left="160"/>
              <w:spacing w:after="0"/>
              <w:rPr>
                <w:sz w:val="20"/>
                <w:szCs w:val="20"/>
                <w:color w:val="auto"/>
              </w:rPr>
            </w:pPr>
            <w:r>
              <w:rPr>
                <w:rFonts w:ascii="Arial" w:cs="Arial" w:eastAsia="Arial" w:hAnsi="Arial"/>
                <w:sz w:val="16"/>
                <w:szCs w:val="16"/>
                <w:color w:val="auto"/>
              </w:rPr>
              <w:t>Property and equipment, net of accumulated depreciation</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62"/>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Intangible assets, net of accumulated amortization</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16,706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8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120" w:type="dxa"/>
            <w:vAlign w:val="bottom"/>
          </w:tcPr>
          <w:p>
            <w:pPr>
              <w:ind w:left="16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62"/>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Premiums payable</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9"/>
        </w:trPr>
        <w:tc>
          <w:tcPr>
            <w:tcW w:w="8120" w:type="dxa"/>
            <w:vAlign w:val="bottom"/>
          </w:tcPr>
          <w:p>
            <w:pPr>
              <w:ind w:left="160"/>
              <w:spacing w:after="0"/>
              <w:rPr>
                <w:sz w:val="20"/>
                <w:szCs w:val="20"/>
                <w:color w:val="auto"/>
              </w:rPr>
            </w:pPr>
            <w:r>
              <w:rPr>
                <w:rFonts w:ascii="Arial" w:cs="Arial" w:eastAsia="Arial" w:hAnsi="Arial"/>
                <w:sz w:val="16"/>
                <w:szCs w:val="16"/>
                <w:color w:val="auto"/>
              </w:rPr>
              <w:t>Unearned revenue</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62"/>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 payable</w:t>
            </w:r>
          </w:p>
        </w:tc>
        <w:tc>
          <w:tcPr>
            <w:tcW w:w="16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9"/>
        </w:trPr>
        <w:tc>
          <w:tcPr>
            <w:tcW w:w="8120" w:type="dxa"/>
            <w:vAlign w:val="bottom"/>
          </w:tcPr>
          <w:p>
            <w:pPr>
              <w:ind w:left="160"/>
              <w:spacing w:after="0"/>
              <w:rPr>
                <w:sz w:val="20"/>
                <w:szCs w:val="20"/>
                <w:color w:val="auto"/>
              </w:rPr>
            </w:pPr>
            <w:r>
              <w:rPr>
                <w:rFonts w:ascii="Arial" w:cs="Arial" w:eastAsia="Arial" w:hAnsi="Arial"/>
                <w:sz w:val="16"/>
                <w:szCs w:val="16"/>
                <w:color w:val="auto"/>
              </w:rPr>
              <w:t>Deferred rent</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62"/>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Note payable</w:t>
            </w: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2"/>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color w:val="auto"/>
              </w:rPr>
              <w:t>Deferred rent, net of current portion</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Note payable, net of current portion</w:t>
            </w: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46,644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48,156</w:t>
            </w:r>
          </w:p>
        </w:tc>
        <w:tc>
          <w:tcPr>
            <w:tcW w:w="0" w:type="dxa"/>
            <w:vAlign w:val="bottom"/>
          </w:tcPr>
          <w:p>
            <w:pPr>
              <w:spacing w:after="0"/>
              <w:rPr>
                <w:sz w:val="1"/>
                <w:szCs w:val="1"/>
                <w:color w:val="auto"/>
              </w:rPr>
            </w:pPr>
          </w:p>
        </w:tc>
      </w:tr>
      <w:tr>
        <w:trPr>
          <w:trHeight w:val="242"/>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57,720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57,839</w:t>
            </w:r>
          </w:p>
        </w:tc>
        <w:tc>
          <w:tcPr>
            <w:tcW w:w="0" w:type="dxa"/>
            <w:vAlign w:val="bottom"/>
          </w:tcPr>
          <w:p>
            <w:pPr>
              <w:spacing w:after="0"/>
              <w:rPr>
                <w:sz w:val="1"/>
                <w:szCs w:val="1"/>
                <w:color w:val="auto"/>
              </w:rPr>
            </w:pPr>
          </w:p>
        </w:tc>
      </w:tr>
      <w:tr>
        <w:trPr>
          <w:trHeight w:val="24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6)</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color w:val="auto"/>
              </w:rPr>
              <w:t>Members’ deficit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(41,133)</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common stock, $.01 par value per share - 300,000 shares authorized, 13,533 shares issued and</w:t>
            </w:r>
          </w:p>
        </w:tc>
        <w:tc>
          <w:tcPr>
            <w:tcW w:w="16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as of September 30, 2018, zero issued and outstanding as of December 31, 2017</w:t>
            </w:r>
          </w:p>
        </w:tc>
        <w:tc>
          <w:tcPr>
            <w:tcW w:w="1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Class B common stock, $.01 par value per share - 50,000 shares authorized, 22,747 issued and</w:t>
            </w:r>
          </w:p>
        </w:tc>
        <w:tc>
          <w:tcPr>
            <w:tcW w:w="160" w:type="dxa"/>
            <w:vAlign w:val="bottom"/>
          </w:tcPr>
          <w:p>
            <w:pPr>
              <w:spacing w:after="0"/>
              <w:rPr>
                <w:sz w:val="18"/>
                <w:szCs w:val="18"/>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outstanding as of September 30, 2018, zero issued and outstanding as of December 31, 2017</w:t>
            </w:r>
          </w:p>
        </w:tc>
        <w:tc>
          <w:tcPr>
            <w:tcW w:w="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Additional paid in capital</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89,259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Total stockholders' equity and members' deficit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82,953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(41,133)</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(109,474)</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Total equity</w:t>
            </w: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(41,133)</w:t>
            </w:r>
          </w:p>
        </w:tc>
        <w:tc>
          <w:tcPr>
            <w:tcW w:w="0" w:type="dxa"/>
            <w:vAlign w:val="bottom"/>
          </w:tcPr>
          <w:p>
            <w:pPr>
              <w:spacing w:after="0"/>
              <w:rPr>
                <w:sz w:val="1"/>
                <w:szCs w:val="1"/>
                <w:color w:val="auto"/>
              </w:rPr>
            </w:pPr>
          </w:p>
        </w:tc>
      </w:tr>
      <w:tr>
        <w:trPr>
          <w:trHeight w:val="242"/>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31,199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16,706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76" w:right="2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Goosehead Insurance, Inc.</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(Unaudited)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8"/>
        </w:trPr>
        <w:tc>
          <w:tcPr>
            <w:tcW w:w="7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160"/>
              <w:spacing w:after="0"/>
              <w:rPr>
                <w:sz w:val="20"/>
                <w:szCs w:val="20"/>
                <w:color w:val="auto"/>
              </w:rPr>
            </w:pPr>
            <w:r>
              <w:rPr>
                <w:rFonts w:ascii="Arial" w:cs="Arial" w:eastAsia="Arial" w:hAnsi="Arial"/>
                <w:sz w:val="14"/>
                <w:szCs w:val="14"/>
                <w:color w:val="auto"/>
              </w:rPr>
              <w:t>Commissions and agency fees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9,760</w:t>
            </w:r>
          </w:p>
        </w:tc>
        <w:tc>
          <w:tcPr>
            <w:tcW w:w="100" w:type="dxa"/>
            <w:vAlign w:val="bottom"/>
          </w:tcPr>
          <w:p>
            <w:pPr>
              <w:spacing w:after="0"/>
              <w:rPr>
                <w:sz w:val="18"/>
                <w:szCs w:val="18"/>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6,692</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28,072</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19,908</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Franchise revenues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11,499</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income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31,576</w:t>
            </w:r>
          </w:p>
        </w:tc>
        <w:tc>
          <w:tcPr>
            <w:tcW w:w="0" w:type="dxa"/>
            <w:vAlign w:val="bottom"/>
          </w:tcPr>
          <w:p>
            <w:pPr>
              <w:spacing w:after="0"/>
              <w:rPr>
                <w:sz w:val="1"/>
                <w:szCs w:val="1"/>
                <w:color w:val="auto"/>
              </w:rPr>
            </w:pPr>
          </w:p>
        </w:tc>
      </w:tr>
      <w:tr>
        <w:trPr>
          <w:trHeight w:val="209"/>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Employee compensation and benefits (including Class B unit compensation of $0 and $26,134 for the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three and nine months ended September 30, 2018, respectively, and $1,150 and $1,335 for the three</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nine months ended September 30, 2017, respectively)</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49,646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17,629</w:t>
            </w:r>
          </w:p>
        </w:tc>
        <w:tc>
          <w:tcPr>
            <w:tcW w:w="0" w:type="dxa"/>
            <w:vAlign w:val="bottom"/>
          </w:tcPr>
          <w:p>
            <w:pPr>
              <w:spacing w:after="0"/>
              <w:rPr>
                <w:sz w:val="1"/>
                <w:szCs w:val="1"/>
                <w:color w:val="auto"/>
              </w:rPr>
            </w:pPr>
          </w:p>
        </w:tc>
      </w:tr>
      <w:tr>
        <w:trPr>
          <w:trHeight w:val="209"/>
        </w:trPr>
        <w:tc>
          <w:tcPr>
            <w:tcW w:w="7080" w:type="dxa"/>
            <w:vAlign w:val="bottom"/>
          </w:tcPr>
          <w:p>
            <w:pPr>
              <w:ind w:left="16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5,987</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Bad debts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25,083</w:t>
            </w:r>
          </w:p>
        </w:tc>
        <w:tc>
          <w:tcPr>
            <w:tcW w:w="0" w:type="dxa"/>
            <w:vAlign w:val="bottom"/>
          </w:tcPr>
          <w:p>
            <w:pPr>
              <w:spacing w:after="0"/>
              <w:rPr>
                <w:sz w:val="1"/>
                <w:szCs w:val="1"/>
                <w:color w:val="auto"/>
              </w:rPr>
            </w:pPr>
          </w:p>
        </w:tc>
      </w:tr>
      <w:tr>
        <w:trPr>
          <w:trHeight w:val="202"/>
        </w:trPr>
        <w:tc>
          <w:tcPr>
            <w:tcW w:w="7080" w:type="dxa"/>
            <w:vAlign w:val="bottom"/>
          </w:tcPr>
          <w:p>
            <w:pPr>
              <w:ind w:left="380"/>
              <w:spacing w:after="0"/>
              <w:rPr>
                <w:sz w:val="20"/>
                <w:szCs w:val="20"/>
                <w:color w:val="auto"/>
              </w:rPr>
            </w:pPr>
            <w:r>
              <w:rPr>
                <w:rFonts w:ascii="Arial" w:cs="Arial" w:eastAsia="Arial" w:hAnsi="Arial"/>
                <w:sz w:val="14"/>
                <w:szCs w:val="14"/>
                <w:b w:val="1"/>
                <w:bCs w:val="1"/>
                <w:color w:val="auto"/>
              </w:rPr>
              <w:t>Income (loss) from operations</w:t>
            </w:r>
          </w:p>
        </w:tc>
        <w:tc>
          <w:tcPr>
            <w:tcW w:w="2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6,493</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160"/>
              <w:spacing w:after="0"/>
              <w:rPr>
                <w:sz w:val="20"/>
                <w:szCs w:val="20"/>
                <w:color w:val="auto"/>
              </w:rPr>
            </w:pPr>
            <w:r>
              <w:rPr>
                <w:rFonts w:ascii="Arial" w:cs="Arial" w:eastAsia="Arial" w:hAnsi="Arial"/>
                <w:sz w:val="14"/>
                <w:szCs w:val="14"/>
                <w:color w:val="auto"/>
              </w:rPr>
              <w:t>Other income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3,541</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02"/>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Income (loss) before taxes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8,300</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expense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8,300</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(loss) attributable to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8,300</w:t>
            </w:r>
          </w:p>
        </w:tc>
        <w:tc>
          <w:tcPr>
            <w:tcW w:w="0" w:type="dxa"/>
            <w:vAlign w:val="bottom"/>
          </w:tcPr>
          <w:p>
            <w:pPr>
              <w:spacing w:after="0"/>
              <w:rPr>
                <w:sz w:val="1"/>
                <w:szCs w:val="1"/>
                <w:color w:val="auto"/>
              </w:rPr>
            </w:pPr>
          </w:p>
        </w:tc>
      </w:tr>
      <w:tr>
        <w:trPr>
          <w:trHeight w:val="242"/>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Goosehead Insurance, Inc.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(8,991)</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38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n/a</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n/a</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9"/>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of Class A common stock outstanding</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9"/>
        </w:trPr>
        <w:tc>
          <w:tcPr>
            <w:tcW w:w="7080" w:type="dxa"/>
            <w:vAlign w:val="bottom"/>
          </w:tcPr>
          <w:p>
            <w:pPr>
              <w:ind w:left="38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14,614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13,533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40"/>
              <w:spacing w:after="0"/>
              <w:rPr>
                <w:sz w:val="20"/>
                <w:szCs w:val="20"/>
                <w:color w:val="auto"/>
              </w:rPr>
            </w:pPr>
            <w:r>
              <w:rPr>
                <w:rFonts w:ascii="Arial" w:cs="Arial" w:eastAsia="Arial" w:hAnsi="Arial"/>
                <w:sz w:val="14"/>
                <w:szCs w:val="14"/>
                <w:color w:val="auto"/>
              </w:rPr>
              <w:t>Pro forma net income: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 forma income before taxes attributable to Goosehead Insurance, Inc.</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3,096</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 forma income tax expense</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n/a</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n/a</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 forma net income attributable to Goosehead Insurance, Inc.</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215"/>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 forma earnings per share: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8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7"/>
                <w:szCs w:val="17"/>
                <w:color w:val="auto"/>
              </w:rPr>
            </w:pPr>
          </w:p>
        </w:tc>
        <w:tc>
          <w:tcPr>
            <w:tcW w:w="880" w:type="dxa"/>
            <w:vAlign w:val="bottom"/>
            <w:gridSpan w:val="2"/>
            <w:vMerge w:val="restart"/>
          </w:tcPr>
          <w:p>
            <w:pPr>
              <w:ind w:left="480"/>
              <w:spacing w:after="0"/>
              <w:rPr>
                <w:sz w:val="20"/>
                <w:szCs w:val="20"/>
                <w:color w:val="auto"/>
              </w:rPr>
            </w:pPr>
            <w:r>
              <w:rPr>
                <w:rFonts w:ascii="Arial" w:cs="Arial" w:eastAsia="Arial" w:hAnsi="Arial"/>
                <w:sz w:val="14"/>
                <w:szCs w:val="14"/>
                <w:color w:val="auto"/>
              </w:rPr>
              <w:t>n/a</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restart"/>
          </w:tcPr>
          <w:p>
            <w:pPr>
              <w:ind w:left="480"/>
              <w:spacing w:after="0"/>
              <w:rPr>
                <w:sz w:val="20"/>
                <w:szCs w:val="20"/>
                <w:color w:val="auto"/>
              </w:rPr>
            </w:pPr>
            <w:r>
              <w:rPr>
                <w:rFonts w:ascii="Arial" w:cs="Arial" w:eastAsia="Arial" w:hAnsi="Arial"/>
                <w:sz w:val="14"/>
                <w:szCs w:val="14"/>
                <w:color w:val="auto"/>
              </w:rPr>
              <w:t>n/a</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65"/>
        </w:trPr>
        <w:tc>
          <w:tcPr>
            <w:tcW w:w="70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40"/>
              <w:spacing w:after="0"/>
              <w:rPr>
                <w:sz w:val="20"/>
                <w:szCs w:val="20"/>
                <w:color w:val="auto"/>
              </w:rPr>
            </w:pPr>
            <w:r>
              <w:rPr>
                <w:rFonts w:ascii="Arial" w:cs="Arial" w:eastAsia="Arial" w:hAnsi="Arial"/>
                <w:sz w:val="14"/>
                <w:szCs w:val="14"/>
                <w:color w:val="auto"/>
              </w:rPr>
              <w:t>Pro forma weighted average shares of Class A common stock outstanding:</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13,533</w:t>
            </w:r>
          </w:p>
        </w:tc>
        <w:tc>
          <w:tcPr>
            <w:tcW w:w="0" w:type="dxa"/>
            <w:vAlign w:val="bottom"/>
          </w:tcPr>
          <w:p>
            <w:pPr>
              <w:spacing w:after="0"/>
              <w:rPr>
                <w:sz w:val="1"/>
                <w:szCs w:val="1"/>
                <w:color w:val="auto"/>
              </w:rPr>
            </w:pPr>
          </w:p>
        </w:tc>
      </w:tr>
      <w:tr>
        <w:trPr>
          <w:trHeight w:val="203"/>
        </w:trPr>
        <w:tc>
          <w:tcPr>
            <w:tcW w:w="7080" w:type="dxa"/>
            <w:vAlign w:val="bottom"/>
          </w:tcPr>
          <w:p>
            <w:pPr>
              <w:ind w:left="38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14,614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14,522</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66" w:right="2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Goosehead Insurance, Inc.</w:t>
      </w:r>
    </w:p>
    <w:p>
      <w:pPr>
        <w:spacing w:after="0" w:line="40" w:lineRule="exact"/>
        <w:rPr>
          <w:sz w:val="20"/>
          <w:szCs w:val="20"/>
          <w:color w:val="auto"/>
        </w:rPr>
      </w:pPr>
    </w:p>
    <w:p>
      <w:pPr>
        <w:ind w:right="4360"/>
        <w:spacing w:after="0" w:line="245" w:lineRule="auto"/>
        <w:rPr>
          <w:sz w:val="20"/>
          <w:szCs w:val="20"/>
          <w:color w:val="auto"/>
        </w:rPr>
      </w:pPr>
      <w:r>
        <w:rPr>
          <w:rFonts w:ascii="Arial" w:cs="Arial" w:eastAsia="Arial" w:hAnsi="Arial"/>
          <w:sz w:val="25"/>
          <w:szCs w:val="25"/>
          <w:b w:val="1"/>
          <w:bCs w:val="1"/>
          <w:color w:val="auto"/>
        </w:rPr>
        <w:t>Condensed Consolidated Statement of Stockholders' Equity (Unaudited)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Issued</w:t>
            </w:r>
          </w:p>
        </w:tc>
        <w:tc>
          <w:tcPr>
            <w:tcW w:w="9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Issued</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shares</w:t>
            </w:r>
          </w:p>
        </w:tc>
        <w:tc>
          <w:tcPr>
            <w:tcW w:w="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shares</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of Class</w:t>
            </w:r>
          </w:p>
        </w:tc>
        <w:tc>
          <w:tcPr>
            <w:tcW w:w="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of Class</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A</w:t>
            </w:r>
          </w:p>
        </w:tc>
        <w:tc>
          <w:tcPr>
            <w:tcW w:w="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B</w:t>
            </w:r>
          </w:p>
        </w:tc>
        <w:tc>
          <w:tcPr>
            <w:tcW w:w="94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Class A</w:t>
            </w:r>
          </w:p>
        </w:tc>
        <w:tc>
          <w:tcPr>
            <w:tcW w:w="94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Class B</w:t>
            </w:r>
          </w:p>
        </w:tc>
        <w:tc>
          <w:tcPr>
            <w:tcW w:w="10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b w:val="1"/>
                <w:bCs w:val="1"/>
                <w:color w:val="auto"/>
              </w:rPr>
              <w:t>Additional</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Total</w:t>
            </w:r>
          </w:p>
        </w:tc>
        <w:tc>
          <w:tcPr>
            <w:tcW w:w="10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Non-</w:t>
            </w: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b w:val="1"/>
                <w:bCs w:val="1"/>
                <w:color w:val="auto"/>
              </w:rPr>
              <w:t>Members'</w:t>
            </w:r>
          </w:p>
        </w:tc>
        <w:tc>
          <w:tcPr>
            <w:tcW w:w="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common</w:t>
            </w:r>
          </w:p>
        </w:tc>
        <w:tc>
          <w:tcPr>
            <w:tcW w:w="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common</w:t>
            </w:r>
          </w:p>
        </w:tc>
        <w:tc>
          <w:tcPr>
            <w:tcW w:w="94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Common</w:t>
            </w:r>
          </w:p>
        </w:tc>
        <w:tc>
          <w:tcPr>
            <w:tcW w:w="94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Common</w:t>
            </w:r>
          </w:p>
        </w:tc>
        <w:tc>
          <w:tcPr>
            <w:tcW w:w="10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b w:val="1"/>
                <w:bCs w:val="1"/>
                <w:color w:val="auto"/>
              </w:rPr>
              <w:t>paid in</w:t>
            </w:r>
          </w:p>
        </w:tc>
        <w:tc>
          <w:tcPr>
            <w:tcW w:w="12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Accumulated</w:t>
            </w:r>
          </w:p>
        </w:tc>
        <w:tc>
          <w:tcPr>
            <w:tcW w:w="13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stockholders'</w:t>
            </w:r>
          </w:p>
        </w:tc>
        <w:tc>
          <w:tcPr>
            <w:tcW w:w="10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controlling</w:t>
            </w:r>
          </w:p>
        </w:tc>
        <w:tc>
          <w:tcPr>
            <w:tcW w:w="9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Total</w:t>
            </w:r>
          </w:p>
        </w:tc>
      </w:tr>
      <w:tr>
        <w:trPr>
          <w:trHeight w:val="251"/>
        </w:trPr>
        <w:tc>
          <w:tcPr>
            <w:tcW w:w="1260" w:type="dxa"/>
            <w:vAlign w:val="bottom"/>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deficit</w:t>
            </w:r>
          </w:p>
        </w:tc>
        <w:tc>
          <w:tcPr>
            <w:tcW w:w="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stock</w:t>
            </w:r>
          </w:p>
        </w:tc>
        <w:tc>
          <w:tcPr>
            <w:tcW w:w="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stock</w:t>
            </w:r>
          </w:p>
        </w:tc>
        <w:tc>
          <w:tcPr>
            <w:tcW w:w="9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stock</w:t>
            </w:r>
          </w:p>
        </w:tc>
        <w:tc>
          <w:tcPr>
            <w:tcW w:w="9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Stock</w:t>
            </w:r>
          </w:p>
        </w:tc>
        <w:tc>
          <w:tcPr>
            <w:tcW w:w="10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capital</w:t>
            </w:r>
          </w:p>
        </w:tc>
        <w:tc>
          <w:tcPr>
            <w:tcW w:w="12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deficit</w:t>
            </w:r>
          </w:p>
        </w:tc>
        <w:tc>
          <w:tcPr>
            <w:tcW w:w="13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equity</w:t>
            </w:r>
          </w:p>
        </w:tc>
        <w:tc>
          <w:tcPr>
            <w:tcW w:w="10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interest</w:t>
            </w:r>
          </w:p>
        </w:tc>
        <w:tc>
          <w:tcPr>
            <w:tcW w:w="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equity</w:t>
            </w:r>
          </w:p>
        </w:tc>
      </w:tr>
      <w:tr>
        <w:trPr>
          <w:trHeight w:val="207"/>
        </w:trPr>
        <w:tc>
          <w:tcPr>
            <w:tcW w:w="1260" w:type="dxa"/>
            <w:vAlign w:val="bottom"/>
          </w:tcPr>
          <w:p>
            <w:pPr>
              <w:ind w:left="4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3"/>
        </w:trPr>
        <w:tc>
          <w:tcPr>
            <w:tcW w:w="126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(41,133)</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$(41,133)</w:t>
            </w:r>
          </w:p>
        </w:tc>
      </w:tr>
      <w:tr>
        <w:trPr>
          <w:trHeight w:val="234"/>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prior to the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Reorganization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4,389</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r>
      <w:tr>
        <w:trPr>
          <w:trHeight w:val="227"/>
        </w:trPr>
        <w:tc>
          <w:tcPr>
            <w:tcW w:w="1260" w:type="dxa"/>
            <w:vAlign w:val="bottom"/>
          </w:tcPr>
          <w:p>
            <w:pPr>
              <w:ind w:left="4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rPr>
              <w:t>prior to the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w w:val="99"/>
              </w:rPr>
              <w:t>Reorganization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3"/>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Transactions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(1,278)</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r>
      <w:tr>
        <w:trPr>
          <w:trHeight w:val="227"/>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prior</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to the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Reorganization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Transactions</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(38,022)</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$(38,022)</w:t>
            </w:r>
          </w:p>
        </w:tc>
      </w:tr>
      <w:tr>
        <w:trPr>
          <w:trHeight w:val="227"/>
        </w:trPr>
        <w:tc>
          <w:tcPr>
            <w:tcW w:w="1260" w:type="dxa"/>
            <w:vAlign w:val="bottom"/>
          </w:tcPr>
          <w:p>
            <w:pPr>
              <w:ind w:left="40"/>
              <w:spacing w:after="0"/>
              <w:rPr>
                <w:sz w:val="20"/>
                <w:szCs w:val="20"/>
                <w:color w:val="auto"/>
              </w:rPr>
            </w:pPr>
            <w:r>
              <w:rPr>
                <w:rFonts w:ascii="Arial" w:cs="Arial" w:eastAsia="Arial" w:hAnsi="Arial"/>
                <w:sz w:val="18"/>
                <w:szCs w:val="18"/>
                <w:color w:val="auto"/>
              </w:rPr>
              <w:t>Effects of the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w w:val="99"/>
              </w:rPr>
              <w:t>Reorganization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3"/>
        </w:trPr>
        <w:tc>
          <w:tcPr>
            <w:tcW w:w="1260" w:type="dxa"/>
            <w:vAlign w:val="bottom"/>
          </w:tcPr>
          <w:p>
            <w:pPr>
              <w:ind w:left="40"/>
              <w:spacing w:after="0"/>
              <w:rPr>
                <w:sz w:val="20"/>
                <w:szCs w:val="20"/>
                <w:color w:val="auto"/>
              </w:rPr>
            </w:pPr>
            <w:r>
              <w:rPr>
                <w:rFonts w:ascii="Arial" w:cs="Arial" w:eastAsia="Arial" w:hAnsi="Arial"/>
                <w:sz w:val="18"/>
                <w:szCs w:val="18"/>
                <w:color w:val="auto"/>
              </w:rPr>
              <w:t>Transactions</w:t>
            </w:r>
          </w:p>
        </w:tc>
        <w:tc>
          <w:tcPr>
            <w:tcW w:w="16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38,022</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22,747</w:t>
            </w:r>
          </w:p>
        </w:tc>
        <w:tc>
          <w:tcPr>
            <w:tcW w:w="34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8"/>
              </w:rPr>
              <w:t>(132,202)</w:t>
            </w:r>
          </w:p>
        </w:tc>
        <w:tc>
          <w:tcPr>
            <w:tcW w:w="3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(7,379)</w:t>
            </w:r>
          </w:p>
        </w:tc>
        <w:tc>
          <w:tcPr>
            <w:tcW w:w="3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(139,354)</w:t>
            </w:r>
          </w:p>
        </w:tc>
        <w:tc>
          <w:tcPr>
            <w:tcW w:w="2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(12,402)</w:t>
            </w:r>
          </w:p>
        </w:tc>
        <w:tc>
          <w:tcPr>
            <w:tcW w:w="900" w:type="dxa"/>
            <w:vAlign w:val="bottom"/>
          </w:tcPr>
          <w:p>
            <w:pPr>
              <w:jc w:val="right"/>
              <w:spacing w:after="0"/>
              <w:rPr>
                <w:sz w:val="20"/>
                <w:szCs w:val="20"/>
                <w:color w:val="auto"/>
              </w:rPr>
            </w:pPr>
            <w:r>
              <w:rPr>
                <w:rFonts w:ascii="Arial" w:cs="Arial" w:eastAsia="Arial" w:hAnsi="Arial"/>
                <w:sz w:val="18"/>
                <w:szCs w:val="18"/>
                <w:color w:val="auto"/>
              </w:rPr>
              <w:t>(113,734)</w:t>
            </w:r>
          </w:p>
        </w:tc>
      </w:tr>
      <w:tr>
        <w:trPr>
          <w:trHeight w:val="234"/>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non-</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controlling</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allocation</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97,071</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97,071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1260" w:type="dxa"/>
            <w:vAlign w:val="bottom"/>
          </w:tcPr>
          <w:p>
            <w:pPr>
              <w:ind w:left="40"/>
              <w:spacing w:after="0"/>
              <w:rPr>
                <w:sz w:val="20"/>
                <w:szCs w:val="20"/>
                <w:color w:val="auto"/>
              </w:rPr>
            </w:pPr>
            <w:r>
              <w:rPr>
                <w:rFonts w:ascii="Arial" w:cs="Arial" w:eastAsia="Arial" w:hAnsi="Arial"/>
                <w:sz w:val="18"/>
                <w:szCs w:val="18"/>
                <w:color w:val="auto"/>
              </w:rPr>
              <w:t>Issuance of</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rPr>
              <w:t>Class A</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rPr>
              <w:t>sold in initial</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rPr>
              <w:t>public offering,</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rPr>
              <w:t>net of offering</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3"/>
        </w:trPr>
        <w:tc>
          <w:tcPr>
            <w:tcW w:w="1260" w:type="dxa"/>
            <w:vAlign w:val="bottom"/>
          </w:tcPr>
          <w:p>
            <w:pPr>
              <w:ind w:left="4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13,533</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123,875</w:t>
            </w:r>
          </w:p>
        </w:tc>
        <w:tc>
          <w:tcPr>
            <w:tcW w:w="38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124,010</w:t>
            </w:r>
          </w:p>
        </w:tc>
        <w:tc>
          <w:tcPr>
            <w:tcW w:w="20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124,010</w:t>
            </w:r>
          </w:p>
        </w:tc>
      </w:tr>
      <w:tr>
        <w:trPr>
          <w:trHeight w:val="234"/>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subsequent to</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initial public</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offering</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27"/>
        </w:trPr>
        <w:tc>
          <w:tcPr>
            <w:tcW w:w="1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rPr>
              <w:t>subsequent to</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1260" w:type="dxa"/>
            <w:vAlign w:val="bottom"/>
          </w:tcPr>
          <w:p>
            <w:pPr>
              <w:ind w:left="40"/>
              <w:spacing w:after="0" w:line="201" w:lineRule="exact"/>
              <w:rPr>
                <w:sz w:val="20"/>
                <w:szCs w:val="20"/>
                <w:color w:val="auto"/>
              </w:rPr>
            </w:pPr>
            <w:r>
              <w:rPr>
                <w:rFonts w:ascii="Arial" w:cs="Arial" w:eastAsia="Arial" w:hAnsi="Arial"/>
                <w:sz w:val="18"/>
                <w:szCs w:val="18"/>
                <w:color w:val="auto"/>
              </w:rPr>
              <w:t>initial public</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3"/>
        </w:trPr>
        <w:tc>
          <w:tcPr>
            <w:tcW w:w="1260" w:type="dxa"/>
            <w:vAlign w:val="bottom"/>
          </w:tcPr>
          <w:p>
            <w:pPr>
              <w:ind w:left="40"/>
              <w:spacing w:after="0"/>
              <w:rPr>
                <w:sz w:val="20"/>
                <w:szCs w:val="20"/>
                <w:color w:val="auto"/>
              </w:rPr>
            </w:pPr>
            <w:r>
              <w:rPr>
                <w:rFonts w:ascii="Arial" w:cs="Arial" w:eastAsia="Arial" w:hAnsi="Arial"/>
                <w:sz w:val="18"/>
                <w:szCs w:val="18"/>
                <w:color w:val="auto"/>
              </w:rPr>
              <w:t>offering</w:t>
            </w:r>
          </w:p>
        </w:tc>
        <w:tc>
          <w:tcPr>
            <w:tcW w:w="16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711</w:t>
            </w:r>
          </w:p>
        </w:tc>
        <w:tc>
          <w:tcPr>
            <w:tcW w:w="3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1,644</w:t>
            </w:r>
          </w:p>
        </w:tc>
        <w:tc>
          <w:tcPr>
            <w:tcW w:w="900" w:type="dxa"/>
            <w:vAlign w:val="bottom"/>
          </w:tcPr>
          <w:p>
            <w:pPr>
              <w:jc w:val="right"/>
              <w:spacing w:after="0"/>
              <w:rPr>
                <w:sz w:val="20"/>
                <w:szCs w:val="20"/>
                <w:color w:val="auto"/>
              </w:rPr>
            </w:pPr>
            <w:r>
              <w:rPr>
                <w:rFonts w:ascii="Arial" w:cs="Arial" w:eastAsia="Arial" w:hAnsi="Arial"/>
                <w:sz w:val="18"/>
                <w:szCs w:val="18"/>
                <w:color w:val="auto"/>
              </w:rPr>
              <w:t>2,355</w:t>
            </w:r>
          </w:p>
        </w:tc>
      </w:tr>
      <w:tr>
        <w:trPr>
          <w:trHeight w:val="234"/>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Equity-based</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subsequent to</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initial public</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offering</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604</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27"/>
        </w:trPr>
        <w:tc>
          <w:tcPr>
            <w:tcW w:w="1260" w:type="dxa"/>
            <w:vAlign w:val="bottom"/>
          </w:tcPr>
          <w:p>
            <w:pPr>
              <w:ind w:left="40"/>
              <w:spacing w:after="0"/>
              <w:rPr>
                <w:sz w:val="20"/>
                <w:szCs w:val="20"/>
                <w:color w:val="auto"/>
              </w:rPr>
            </w:pPr>
            <w:r>
              <w:rPr>
                <w:rFonts w:ascii="Arial" w:cs="Arial" w:eastAsia="Arial" w:hAnsi="Arial"/>
                <w:sz w:val="18"/>
                <w:szCs w:val="18"/>
                <w:color w:val="auto"/>
              </w:rPr>
              <w:t>Deferred tax</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7"/>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1"/>
        </w:trPr>
        <w:tc>
          <w:tcPr>
            <w:tcW w:w="1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September 30,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3"/>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13,533</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22,747</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89,259</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(6,668)</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82,953</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(109,474)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$(26,521)</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ectPr>
          <w:pgSz w:w="11900" w:h="16838" w:orient="portrait"/>
          <w:cols w:equalWidth="0" w:num="1">
            <w:col w:w="11520"/>
          </w:cols>
          <w:pgMar w:left="240" w:top="566" w:right="139" w:bottom="1440" w:gutter="0" w:footer="0" w:header="0"/>
        </w:sect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520"/>
          </w:cols>
          <w:pgMar w:left="240" w:top="566" w:right="1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auto"/>
        </w:rPr>
        <w:t>Goosehead Insurance, Inc.</w:t>
      </w:r>
    </w:p>
    <w:p>
      <w:pPr>
        <w:spacing w:after="0" w:line="40" w:lineRule="exact"/>
        <w:rPr>
          <w:sz w:val="20"/>
          <w:szCs w:val="20"/>
          <w:color w:val="auto"/>
        </w:rPr>
      </w:pPr>
    </w:p>
    <w:p>
      <w:pPr>
        <w:ind w:right="5200"/>
        <w:spacing w:after="0" w:line="245" w:lineRule="auto"/>
        <w:rPr>
          <w:sz w:val="20"/>
          <w:szCs w:val="20"/>
          <w:color w:val="auto"/>
        </w:rPr>
      </w:pPr>
      <w:r>
        <w:rPr>
          <w:rFonts w:ascii="Arial" w:cs="Arial" w:eastAsia="Arial" w:hAnsi="Arial"/>
          <w:sz w:val="25"/>
          <w:szCs w:val="25"/>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4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nine months ended</w:t>
      </w:r>
    </w:p>
    <w:p>
      <w:pPr>
        <w:spacing w:after="0" w:line="1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5290820</wp:posOffset>
            </wp:positionH>
            <wp:positionV relativeFrom="paragraph">
              <wp:posOffset>13970</wp:posOffset>
            </wp:positionV>
            <wp:extent cx="1960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3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2017</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(19,269)</w:t>
            </w:r>
          </w:p>
        </w:tc>
        <w:tc>
          <w:tcPr>
            <w:tcW w:w="120" w:type="dxa"/>
            <w:vAlign w:val="bottom"/>
          </w:tcPr>
          <w:p>
            <w:pPr>
              <w:spacing w:after="0"/>
              <w:rPr>
                <w:sz w:val="22"/>
                <w:szCs w:val="22"/>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8,300</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2"/>
        </w:trPr>
        <w:tc>
          <w:tcPr>
            <w:tcW w:w="83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617</w:t>
            </w:r>
          </w:p>
        </w:tc>
      </w:tr>
      <w:tr>
        <w:trPr>
          <w:trHeight w:val="275"/>
        </w:trPr>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fixed assets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2"/>
        </w:trPr>
        <w:tc>
          <w:tcPr>
            <w:tcW w:w="834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850</w:t>
            </w:r>
          </w:p>
        </w:tc>
      </w:tr>
      <w:tr>
        <w:trPr>
          <w:trHeight w:val="275"/>
        </w:trPr>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2"/>
        </w:trPr>
        <w:tc>
          <w:tcPr>
            <w:tcW w:w="83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5"/>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2"/>
        </w:trPr>
        <w:tc>
          <w:tcPr>
            <w:tcW w:w="8340" w:type="dxa"/>
            <w:vAlign w:val="bottom"/>
          </w:tcPr>
          <w:p>
            <w:pPr>
              <w:ind w:left="380"/>
              <w:spacing w:after="0"/>
              <w:rPr>
                <w:sz w:val="20"/>
                <w:szCs w:val="20"/>
                <w:color w:val="auto"/>
              </w:rPr>
            </w:pPr>
            <w:r>
              <w:rPr>
                <w:rFonts w:ascii="Arial" w:cs="Arial" w:eastAsia="Arial" w:hAnsi="Arial"/>
                <w:sz w:val="18"/>
                <w:szCs w:val="18"/>
                <w:color w:val="auto"/>
              </w:rPr>
              <w:t>Commissions and agency fees receivable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Receivable from franchisees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62"/>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62"/>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27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rent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3,405</w:t>
            </w:r>
          </w:p>
        </w:tc>
      </w:tr>
      <w:tr>
        <w:trPr>
          <w:trHeight w:val="262"/>
        </w:trPr>
        <w:tc>
          <w:tcPr>
            <w:tcW w:w="8340" w:type="dxa"/>
            <w:vAlign w:val="bottom"/>
          </w:tcPr>
          <w:p>
            <w:pPr>
              <w:ind w:left="380"/>
              <w:spacing w:after="0"/>
              <w:rPr>
                <w:sz w:val="20"/>
                <w:szCs w:val="20"/>
                <w:color w:val="auto"/>
              </w:rPr>
            </w:pPr>
            <w:r>
              <w:rPr>
                <w:rFonts w:ascii="Arial" w:cs="Arial" w:eastAsia="Arial" w:hAnsi="Arial"/>
                <w:sz w:val="18"/>
                <w:szCs w:val="18"/>
                <w:color w:val="auto"/>
              </w:rPr>
              <w:t>Premiums payable</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2"/>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12,076</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2"/>
        </w:trPr>
        <w:tc>
          <w:tcPr>
            <w:tcW w:w="8340" w:type="dxa"/>
            <w:vAlign w:val="bottom"/>
          </w:tcPr>
          <w:p>
            <w:pPr>
              <w:ind w:left="160"/>
              <w:spacing w:after="0"/>
              <w:rPr>
                <w:sz w:val="20"/>
                <w:szCs w:val="20"/>
                <w:color w:val="auto"/>
              </w:rPr>
            </w:pPr>
            <w:r>
              <w:rPr>
                <w:rFonts w:ascii="Arial" w:cs="Arial" w:eastAsia="Arial" w:hAnsi="Arial"/>
                <w:sz w:val="18"/>
                <w:szCs w:val="18"/>
                <w:color w:val="auto"/>
              </w:rPr>
              <w:t>Changes in restricted cash</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5"/>
        </w:trPr>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member note receivable</w:t>
            </w: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62"/>
        </w:trPr>
        <w:tc>
          <w:tcPr>
            <w:tcW w:w="8340" w:type="dxa"/>
            <w:vAlign w:val="bottom"/>
          </w:tcPr>
          <w:p>
            <w:pPr>
              <w:ind w:left="160"/>
              <w:spacing w:after="0"/>
              <w:rPr>
                <w:sz w:val="20"/>
                <w:szCs w:val="20"/>
                <w:color w:val="auto"/>
              </w:rPr>
            </w:pPr>
            <w:r>
              <w:rPr>
                <w:rFonts w:ascii="Arial" w:cs="Arial" w:eastAsia="Arial" w:hAnsi="Arial"/>
                <w:sz w:val="18"/>
                <w:szCs w:val="18"/>
                <w:color w:val="auto"/>
              </w:rPr>
              <w:t>Proceeds from notes receivable</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294</w:t>
            </w:r>
          </w:p>
        </w:tc>
      </w:tr>
      <w:tr>
        <w:trPr>
          <w:trHeight w:val="275"/>
        </w:trPr>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software</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62"/>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w:t>
            </w:r>
          </w:p>
        </w:tc>
      </w:tr>
      <w:tr>
        <w:trPr>
          <w:trHeight w:val="25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for investing activities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r>
      <w:tr>
        <w:trPr>
          <w:trHeight w:val="242"/>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9"/>
        </w:trPr>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origination fees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62"/>
        </w:trPr>
        <w:tc>
          <w:tcPr>
            <w:tcW w:w="8340" w:type="dxa"/>
            <w:vAlign w:val="bottom"/>
          </w:tcPr>
          <w:p>
            <w:pPr>
              <w:ind w:left="160"/>
              <w:spacing w:after="0"/>
              <w:rPr>
                <w:sz w:val="20"/>
                <w:szCs w:val="20"/>
                <w:color w:val="auto"/>
              </w:rPr>
            </w:pPr>
            <w:r>
              <w:rPr>
                <w:rFonts w:ascii="Arial" w:cs="Arial" w:eastAsia="Arial" w:hAnsi="Arial"/>
                <w:sz w:val="18"/>
                <w:szCs w:val="18"/>
                <w:color w:val="auto"/>
              </w:rPr>
              <w:t>Repayment of note payable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5"/>
        </w:trPr>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notes payable</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27"/>
        </w:trPr>
        <w:tc>
          <w:tcPr>
            <w:tcW w:w="8340" w:type="dxa"/>
            <w:vAlign w:val="bottom"/>
          </w:tcPr>
          <w:p>
            <w:pPr>
              <w:ind w:left="160"/>
              <w:spacing w:after="0"/>
              <w:rPr>
                <w:sz w:val="20"/>
                <w:szCs w:val="20"/>
                <w:color w:val="auto"/>
              </w:rPr>
            </w:pPr>
            <w:r>
              <w:rPr>
                <w:rFonts w:ascii="Arial" w:cs="Arial" w:eastAsia="Arial" w:hAnsi="Arial"/>
                <w:sz w:val="18"/>
                <w:szCs w:val="18"/>
                <w:color w:val="auto"/>
              </w:rPr>
              <w:t>Proceeds from the issuance of Class A common stock sold in initial public offering, net of</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8340" w:type="dxa"/>
            <w:vAlign w:val="bottom"/>
          </w:tcPr>
          <w:p>
            <w:pPr>
              <w:ind w:left="160"/>
              <w:spacing w:after="0"/>
              <w:rPr>
                <w:sz w:val="20"/>
                <w:szCs w:val="20"/>
                <w:color w:val="auto"/>
              </w:rPr>
            </w:pPr>
            <w:r>
              <w:rPr>
                <w:rFonts w:ascii="Arial" w:cs="Arial" w:eastAsia="Arial" w:hAnsi="Arial"/>
                <w:sz w:val="18"/>
                <w:szCs w:val="18"/>
                <w:color w:val="auto"/>
              </w:rPr>
              <w:t>underwriting discounts and offering costs</w:t>
            </w:r>
          </w:p>
        </w:tc>
        <w:tc>
          <w:tcPr>
            <w:tcW w:w="32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86,773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distributions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w:t>
            </w:r>
          </w:p>
        </w:tc>
      </w:tr>
      <w:tr>
        <w:trPr>
          <w:trHeight w:val="24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7,043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r>
      <w:tr>
        <w:trPr>
          <w:trHeight w:val="25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13,119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6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beginning of period</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4,948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3,778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end of period</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3,920</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09"/>
        </w:trPr>
        <w:tc>
          <w:tcPr>
            <w:tcW w:w="8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color w:val="auto"/>
              </w:rPr>
              <w:t>Management fee note repayment through issuance of Class A common stock</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37,238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ectPr>
          <w:pgSz w:w="11900" w:h="16838" w:orient="portrait"/>
          <w:cols w:equalWidth="0" w:num="1">
            <w:col w:w="11420"/>
          </w:cols>
          <w:pgMar w:left="240" w:top="566" w:right="239" w:bottom="144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66" w:right="239"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6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Organization</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May 1, 2018 Goosehead Insurance, Inc. ("GSHD") completed an initial public offering (the “Offering”) of 9,810 thousand shares of Class A common stock at a price of $10.00 per share, which included 1,280 thousand shares issued pursuant to the underwriter's over-allotment option. GSHD became the sole managing member of Goosehead Financial, LLC (“GF”). GF was organized on January 1, 2016 as a Delaware Limited Liability Company and is headquartered in Westlake, TX. The operations of GF represent the predecessor to GSHD prior to the Offering, and the consolidated and combined entities of GF are described in more detail below. Information for any periods prior to May 1, 2018 relates to GF and its subsidiaries and affiliates.</w:t>
      </w:r>
    </w:p>
    <w:p>
      <w:pPr>
        <w:spacing w:after="0" w:line="98"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GSHD (collectively with its combined and consolidated subsidiaries and affiliates, the “Company”) provides personal and commercial property and casualty insurance brokerage services for its clients through a network of corporate-owned agencies and franchise units across the nation.</w:t>
      </w:r>
    </w:p>
    <w:p>
      <w:pPr>
        <w:spacing w:after="0" w:line="68"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The operations of the corporate-owned units are recorded in Texas Wasatch Insurance Services, L.P. (“TWIS”)—a Texas limited partnership headquartered in Westlake, TX and operating since 2003. TWIS is 99.6% owned by Goosehead Insurance Holdings, LLC (“GIH”), a wholly owned subsidiary of GF. The Company had seven and six corporate-owned locations in operation at September 30, 2018 and 2017, respectively.</w:t>
      </w:r>
    </w:p>
    <w:p>
      <w:pPr>
        <w:spacing w:after="0" w:line="9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The operations of the franchise units are recorded in Goosehead Insurance Agency, LLC (“GIA”)—a Delaware limited liability company headquartered in Westlake, TX and operating since 2011. GIA is 100% owned by GIH. Franchisees are provided access to insurance Carrier Appointments, product training, technology infrastructure, client service centers and back office services. During the three months ended September 30, 2018 and 2017, the Company sold 52 and 33 franchise locations, respectively and had 424 and 267 operating franchise locations as of September 30, 2018 and 2017, respectively. No franchises were purchased by the Company during the three and nine months ended September 30, 2018 or 2017.</w:t>
      </w:r>
    </w:p>
    <w:p>
      <w:pPr>
        <w:spacing w:after="0" w:line="9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Offering, both Goosehead Management, LLC (“GM”) and Texas Wasatch Insurance Holdings Group LLC (“TWIHG”) became wholly owned indirect subsidiaries of GF. Both GM and TWIHG are non-operating holding companies created to receive management fees from the operating entities TWIS and GIA.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 of GF.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Offering, the company completed the following transactions (the "Reorganization Transactions"):</w:t>
      </w:r>
    </w:p>
    <w:p>
      <w:pPr>
        <w:spacing w:after="0" w:line="115" w:lineRule="exact"/>
        <w:rPr>
          <w:sz w:val="20"/>
          <w:szCs w:val="20"/>
          <w:color w:val="auto"/>
        </w:rPr>
      </w:pPr>
    </w:p>
    <w:p>
      <w:pPr>
        <w:jc w:val="both"/>
        <w:ind w:left="660" w:right="240" w:hanging="330"/>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GF limited liability company agreement was amended to, among other things, i) appoint GSHD as the sole managing member of GF and ii) modify the capital structure of GF by reclassifying the interests previously held by Pre-IPO LLC Members into a single new class of non-voting LLC Units.</w:t>
      </w:r>
    </w:p>
    <w:p>
      <w:pPr>
        <w:spacing w:after="0" w:line="94" w:lineRule="exact"/>
        <w:rPr>
          <w:rFonts w:ascii="Arial" w:cs="Arial" w:eastAsia="Arial" w:hAnsi="Arial"/>
          <w:sz w:val="18"/>
          <w:szCs w:val="18"/>
          <w:color w:val="auto"/>
        </w:rPr>
      </w:pPr>
    </w:p>
    <w:p>
      <w:pPr>
        <w:ind w:left="660" w:hanging="330"/>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GSHD was authorized to issue two classes of common stock. 9,810 thousand shares of Class A common stock were issued pursuant to the Offering, including the underwriters' over-allotment option. 22,747 thousand shares of Class B common stock were issued to the Pre-IPO LLC Members in an amount equal to the number of LLC Units held by each such Pre-IPO LLC Member in exchange for certain management rights of GF. Each share of Class A common stock and Class B common stock entitles its holder to one vote per share on all matters submitted to a vote of GSHD's stockholders. Each share of Class B common stock can be exchanged for one share of Class A common stock or, at GSHD's discretion, a cash payment equal to the volume weighted average market price of one share of Class A common stock, thus canceling the share of Class B common stock on a one-for-one basis.</w:t>
      </w:r>
    </w:p>
    <w:p>
      <w:pPr>
        <w:spacing w:after="0" w:line="102" w:lineRule="exact"/>
        <w:rPr>
          <w:rFonts w:ascii="Arial" w:cs="Arial" w:eastAsia="Arial" w:hAnsi="Arial"/>
          <w:sz w:val="18"/>
          <w:szCs w:val="18"/>
          <w:color w:val="auto"/>
        </w:rPr>
      </w:pPr>
    </w:p>
    <w:p>
      <w:pPr>
        <w:ind w:left="660" w:right="20" w:hanging="330"/>
        <w:spacing w:after="0" w:line="25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Goosehead Management Holders and Texas Wasatch Holders indirectly transferred their ownership interests in GM and TWIHG, respectively, to GSHD in exchange for the Goosehead Management Note and Texas Wasatch Note. The aggregate principal amount of the Goosehead Management Note and the Texas Wasatch Note was approximately $114 million. Because the net proceeds from the Offering were insufficient to repay the aggregate principal amount of the notes, 3,724 thousand shares of Class A common stock were issued to the Goosehead Management Holders and the Texas Wasatch Holders for the difference. GSHD contributed direct and indirect ownership interests in each of TWIHG and GM to GF.</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0" w:name="page11"/>
    <w:bookmarkEnd w:id="10"/>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6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3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Following completion of the Reorganization Transactions and the Offering, GSHD owned 37.3% of GF and the Pre-IPO LLC Members owned the remaining 62.7%. GSHD is the sole managing member of GF and, although GSHD holds a minority economic interest in GF, GSHD has the sole voting power and control of management of GF. Accordingly, GSHD consolidates the financial results of GF and reports non-controlling interest in GSHD's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 xml:space="preserve">The accompanying condensed consolidated financial statements of the Company have been prepared in accordance with the instructions to Form 10-Q. Therefore, they do not include all of the annual disclosures required by accounting principles generally accepted in the United States of America ("GAAP"). However, in the opinion of management, these statements include all adjustments, consisting of normal recurring adjustments, which are necessary for a fair presentation of the condensed consolidated financial position at September 30, 2018, and the condensed consolidated results of operations, and cash flows for the three and nine months ended September 30, 2018 and 2017. The interim period condensed consolidated financial statements should be read in conjunction with the </w:t>
      </w:r>
      <w:r>
        <w:rPr>
          <w:rFonts w:ascii="Arial" w:cs="Arial" w:eastAsia="Arial" w:hAnsi="Arial"/>
          <w:sz w:val="18"/>
          <w:szCs w:val="18"/>
          <w:i w:val="1"/>
          <w:iCs w:val="1"/>
          <w:color w:val="auto"/>
        </w:rPr>
        <w:t>Consolidated and Combined Financial Statements</w:t>
      </w:r>
      <w:r>
        <w:rPr>
          <w:rFonts w:ascii="Arial" w:cs="Arial" w:eastAsia="Arial" w:hAnsi="Arial"/>
          <w:sz w:val="18"/>
          <w:szCs w:val="18"/>
          <w:color w:val="auto"/>
        </w:rPr>
        <w:t xml:space="preserve"> that are included in the Final Prospectus.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expenses during the reported period. Accordingly, actual results could differ from those estimates as more information becomes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IPO Related Costs</w:t>
      </w:r>
    </w:p>
    <w:p>
      <w:pPr>
        <w:spacing w:after="0" w:line="2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Offering, the Company incurred costs which were recorded in other assets on the condensed consolidated balance sheet. Upon completion of the Offering, these deferred costs were charged against the proceeds from the Offering with a corresponding reduction to additional paid-in capital. There were $0 and $170 thousand of IPO related costs included in other assets at September 30, 2018 and December 31,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Prior to the Offering, GF was treated as a partnership for U.S. federal and applicable state and local income tax purposes. As a partnership, GF's taxable income or loss was included in the taxable income of its members. Accordingly, no income tax expense was recorded for federal and state and local jurisdictions for periods prior to the Offering.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Offering completed on May 1, 2018, the Company became a taxable entity.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u w:val="single" w:color="auto"/>
          <w:color w:val="auto"/>
        </w:rPr>
        <w:t>Statement of Cash Flows (ASU 2016-18)</w:t>
      </w:r>
      <w:r>
        <w:rPr>
          <w:rFonts w:ascii="Arial" w:cs="Arial" w:eastAsia="Arial" w:hAnsi="Arial"/>
          <w:sz w:val="18"/>
          <w:szCs w:val="18"/>
          <w:color w:val="auto"/>
        </w:rPr>
        <w:t>: This standard requires that the Statement of Cash Flows explain the changes during the period of cash and cash equivalents inclusive of amounts categorized as Restricted Cash. As such, upon adoption, the Company’s consolidated statement of cash flows will show the sources and uses of cash that explain the movement in the balance of cash and cash equivalents, inclusive of restricted cash, over the period presented. As an emerging growth company (“EGC”), the standard will become effective for the Company January 1, 2019. The Company does not expect that this standard will have a material impact on the Company's Statement of Cash Flows.</w:t>
      </w:r>
    </w:p>
    <w:p>
      <w:pPr>
        <w:spacing w:after="0" w:line="98"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u w:val="single" w:color="auto"/>
          <w:color w:val="auto"/>
        </w:rPr>
        <w:t>Statement of Cash Flows (ASU 2016-15)</w:t>
      </w:r>
      <w:r>
        <w:rPr>
          <w:rFonts w:ascii="Arial" w:cs="Arial" w:eastAsia="Arial" w:hAnsi="Arial"/>
          <w:sz w:val="18"/>
          <w:szCs w:val="18"/>
          <w:color w:val="auto"/>
        </w:rPr>
        <w:t>: This standard addresses eight specific cash flow issues with the objective of reducing the existing diversity in practice in how certain cash receipts and cash payments are presented and classified and applies to all entities, including both business entities and not-for-profit entities that are required to present a statement of cash flows under Topic 230. The standard will become effective for the Company on January 1, 2019. The Company has evaluated the impact of ASU 2016-15 and has determined the impact to be immaterial. The Company does not, at this time, engage in the activities being addressed by the standard.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11" w:name="page12"/>
    <w:bookmarkEnd w:id="11"/>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6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31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u w:val="single" w:color="auto"/>
          <w:color w:val="auto"/>
        </w:rPr>
        <w:t>Revenue from Contracts with Customers (ASU 2014-09)</w:t>
      </w:r>
      <w:r>
        <w:rPr>
          <w:rFonts w:ascii="Arial" w:cs="Arial" w:eastAsia="Arial" w:hAnsi="Arial"/>
          <w:sz w:val="18"/>
          <w:szCs w:val="18"/>
          <w:color w:val="auto"/>
        </w:rPr>
        <w:t>: This standard supersedes the existing revenue recognition guidance and provides a new framework for recognizing revenue. The core principle of the standard is that an entity should recognize revenue to depict the transfer of promised goods or services to customers in an amount that reflects the consideration to which the entity expects to be entitled in exchange for those goods and services. The new standard also requires significantly more comprehensive disclosures than the existing standard. Guidance subsequent to ASU 2014-09 has been issued to clarify various provisions in the standard, including principal versus agent considerations, identifying performance obligations, licensing transactions, as well as various technical corrections and improvements. This standard may be adopted using either a retrospective or modified retrospective method. According to the superseding standard ASU 2015-14 that deferred the effective dates of the preceding, and because the Company is filing as an emerging growth company, the standard will become effective for the Company January 1, 2019, but the Company is not required to present the impacts of the standard until it files its annual report on Form 10-K for the fiscal year ended December 31, 2019. The Company is continuing to evaluate the impact this standard is expected to have on the consolidated financial statements and expects to adopt the modified retrospective method. The primary anticipated impacts of the new standard to the Company's revenues and expenses are as follows:</w:t>
      </w:r>
    </w:p>
    <w:p>
      <w:pPr>
        <w:spacing w:after="0" w:line="9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Under the new guidance, the Company expects commission revenues will be recognized at the effective date of the policy, which will accelerate some revenues. Currently, commissions from insurance carriers, net of estimated cancellations, are recognized as revenue when the data necessary to reasonably determine such amounts is made available to the Company. For contingent commissions, the Company anticipates revenues will be estimated and recorded throughout the year as the underlying business is placed with the insurance carriers as opposed to the Company's historical recognition when the Company received cash, the related policy detail, or other carrier specific information from the insurance carrier, typically in the first quarter of the following year. The effect of this change will result in revenue being recognized more evenly throughout the year.</w:t>
      </w:r>
    </w:p>
    <w:p>
      <w:pPr>
        <w:spacing w:after="0" w:line="102"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Franchise revenues, including franchise fees are also likely to change under the new guidance. Currently, initial franchise fees are recognized as revenue in the month the agency owner or initial agency representative attends training. Under the new guidance, the Company anticipates these revenues will likely be recognized over a longer period of time.</w:t>
      </w:r>
    </w:p>
    <w:p>
      <w:pPr>
        <w:spacing w:after="0" w:line="9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also expects to recognize an asset for the costs to obtain and/or fulfill a contract and to amortize on a systematic basis that is consistent with the transfer of the services to which the asset relates.</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intends to continue to evaluate the impact of ASU 2014-09 and intends to further clarify the expected impact of the adoption of the standard in its annual report on Form 10-K for the fiscal year ended December 31, 2018.</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Leases (ASU 2016-02)</w:t>
      </w:r>
      <w:r>
        <w:rPr>
          <w:rFonts w:ascii="Arial" w:cs="Arial" w:eastAsia="Arial" w:hAnsi="Arial"/>
          <w:sz w:val="18"/>
          <w:szCs w:val="18"/>
          <w:color w:val="auto"/>
        </w:rPr>
        <w:t>: This standard establishes a new lease accounting model, which introduces the recognition of lease assets and liabilities for those leases classified as operating leases under previous GAAP. It should be applied using a modified retrospective approach, with the option to elect various practical expedients. Early adoption is permitted. The standard will become effective for the Company January 1, 2020. The Company is currently evaluating the impact this standard will have on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Franchise Fees Receivable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Franchise fees receivable included in Receivable from franchisees consisted of the following at September 30, 2018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31,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680" w:type="dxa"/>
            <w:vAlign w:val="bottom"/>
          </w:tcPr>
          <w:p>
            <w:pPr>
              <w:jc w:val="right"/>
              <w:ind w:right="331"/>
              <w:spacing w:after="0"/>
              <w:rPr>
                <w:sz w:val="20"/>
                <w:szCs w:val="20"/>
                <w:color w:val="auto"/>
              </w:rPr>
            </w:pPr>
            <w:r>
              <w:rPr>
                <w:rFonts w:ascii="Arial" w:cs="Arial" w:eastAsia="Arial" w:hAnsi="Arial"/>
                <w:sz w:val="18"/>
                <w:szCs w:val="18"/>
                <w:b w:val="1"/>
                <w:bCs w:val="1"/>
                <w:color w:val="auto"/>
              </w:rPr>
              <w:t>December 31</w:t>
            </w:r>
          </w:p>
        </w:tc>
      </w:tr>
      <w:tr>
        <w:trPr>
          <w:trHeight w:val="275"/>
        </w:trPr>
        <w:tc>
          <w:tcPr>
            <w:tcW w:w="75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2017</w:t>
            </w:r>
          </w:p>
        </w:tc>
      </w:tr>
      <w:tr>
        <w:trPr>
          <w:trHeight w:val="255"/>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Franchise fees receivable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2,501</w:t>
            </w:r>
          </w:p>
        </w:tc>
      </w:tr>
      <w:tr>
        <w:trPr>
          <w:trHeight w:val="262"/>
        </w:trPr>
        <w:tc>
          <w:tcPr>
            <w:tcW w:w="7520" w:type="dxa"/>
            <w:vAlign w:val="bottom"/>
          </w:tcPr>
          <w:p>
            <w:pPr>
              <w:ind w:left="40"/>
              <w:spacing w:after="0"/>
              <w:rPr>
                <w:sz w:val="20"/>
                <w:szCs w:val="20"/>
                <w:color w:val="auto"/>
              </w:rPr>
            </w:pPr>
            <w:r>
              <w:rPr>
                <w:rFonts w:ascii="Arial" w:cs="Arial" w:eastAsia="Arial" w:hAnsi="Arial"/>
                <w:sz w:val="18"/>
                <w:szCs w:val="18"/>
                <w:color w:val="auto"/>
              </w:rPr>
              <w:t>Less: Unamortized discount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75"/>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Allowance for uncollectible franchise fees</w:t>
            </w: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42"/>
        </w:trPr>
        <w:tc>
          <w:tcPr>
            <w:tcW w:w="7520" w:type="dxa"/>
            <w:vAlign w:val="bottom"/>
          </w:tcPr>
          <w:p>
            <w:pPr>
              <w:ind w:left="40"/>
              <w:spacing w:after="0"/>
              <w:rPr>
                <w:sz w:val="20"/>
                <w:szCs w:val="20"/>
                <w:color w:val="auto"/>
              </w:rPr>
            </w:pPr>
            <w:r>
              <w:rPr>
                <w:rFonts w:ascii="Arial" w:cs="Arial" w:eastAsia="Arial" w:hAnsi="Arial"/>
                <w:sz w:val="18"/>
                <w:szCs w:val="18"/>
                <w:color w:val="auto"/>
              </w:rPr>
              <w:t>Total franchise fees receivable</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1,342</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Activity in the allowance for uncollectible franchise fees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12" w:name="page13"/>
    <w:bookmarkEnd w:id="12"/>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8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4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860" w:type="dxa"/>
            <w:vAlign w:val="bottom"/>
          </w:tcPr>
          <w:p>
            <w:pPr>
              <w:jc w:val="right"/>
              <w:ind w:right="6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62"/>
        </w:trPr>
        <w:tc>
          <w:tcPr>
            <w:tcW w:w="9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to bad debts</w:t>
            </w:r>
          </w:p>
        </w:tc>
        <w:tc>
          <w:tcPr>
            <w:tcW w:w="8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9"/>
        </w:trPr>
        <w:tc>
          <w:tcPr>
            <w:tcW w:w="9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Write offs</w:t>
            </w:r>
          </w:p>
        </w:tc>
        <w:tc>
          <w:tcPr>
            <w:tcW w:w="8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9"/>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86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9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86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9"/>
        </w:trPr>
        <w:tc>
          <w:tcPr>
            <w:tcW w:w="9340" w:type="dxa"/>
            <w:vAlign w:val="bottom"/>
          </w:tcPr>
          <w:p>
            <w:pPr>
              <w:ind w:left="160"/>
              <w:spacing w:after="0"/>
              <w:rPr>
                <w:sz w:val="20"/>
                <w:szCs w:val="20"/>
                <w:color w:val="auto"/>
              </w:rPr>
            </w:pPr>
            <w:r>
              <w:rPr>
                <w:rFonts w:ascii="Arial" w:cs="Arial" w:eastAsia="Arial" w:hAnsi="Arial"/>
                <w:sz w:val="18"/>
                <w:szCs w:val="18"/>
                <w:color w:val="auto"/>
              </w:rPr>
              <w:t>Charges to bad debts</w:t>
            </w:r>
          </w:p>
        </w:tc>
        <w:tc>
          <w:tcPr>
            <w:tcW w:w="8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55"/>
        </w:trPr>
        <w:tc>
          <w:tcPr>
            <w:tcW w:w="9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 offs</w:t>
            </w:r>
          </w:p>
        </w:tc>
        <w:tc>
          <w:tcPr>
            <w:tcW w:w="8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5"/>
        </w:trPr>
        <w:tc>
          <w:tcPr>
            <w:tcW w:w="934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8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21"/>
                <w:szCs w:val="21"/>
                <w:b w:val="1"/>
                <w:bCs w:val="1"/>
                <w:color w:val="auto"/>
              </w:rPr>
              <w:t>4. Allowance for Uncollectible Agency Fees</w:t>
            </w: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93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340" w:type="dxa"/>
            <w:vAlign w:val="bottom"/>
          </w:tcPr>
          <w:p>
            <w:pPr>
              <w:spacing w:after="0"/>
              <w:rPr>
                <w:sz w:val="20"/>
                <w:szCs w:val="20"/>
                <w:color w:val="auto"/>
              </w:rPr>
            </w:pPr>
            <w:r>
              <w:rPr>
                <w:rFonts w:ascii="Arial" w:cs="Arial" w:eastAsia="Arial" w:hAnsi="Arial"/>
                <w:sz w:val="18"/>
                <w:szCs w:val="18"/>
                <w:color w:val="auto"/>
              </w:rPr>
              <w:t xml:space="preserve">Activity in the allowance for uncollectible agency fees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934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860" w:type="dxa"/>
            <w:vAlign w:val="bottom"/>
          </w:tcPr>
          <w:p>
            <w:pPr>
              <w:jc w:val="right"/>
              <w:ind w:right="6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2"/>
        </w:trPr>
        <w:tc>
          <w:tcPr>
            <w:tcW w:w="9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to bad debts</w:t>
            </w:r>
          </w:p>
        </w:tc>
        <w:tc>
          <w:tcPr>
            <w:tcW w:w="8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9"/>
        </w:trPr>
        <w:tc>
          <w:tcPr>
            <w:tcW w:w="9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Write offs</w:t>
            </w:r>
          </w:p>
        </w:tc>
        <w:tc>
          <w:tcPr>
            <w:tcW w:w="8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9"/>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86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934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860" w:type="dxa"/>
            <w:vAlign w:val="bottom"/>
          </w:tcPr>
          <w:p>
            <w:pPr>
              <w:jc w:val="right"/>
              <w:ind w:right="6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62"/>
        </w:trPr>
        <w:tc>
          <w:tcPr>
            <w:tcW w:w="9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to bad debts</w:t>
            </w:r>
          </w:p>
        </w:tc>
        <w:tc>
          <w:tcPr>
            <w:tcW w:w="8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49"/>
        </w:trPr>
        <w:tc>
          <w:tcPr>
            <w:tcW w:w="9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Write offs</w:t>
            </w:r>
          </w:p>
        </w:tc>
        <w:tc>
          <w:tcPr>
            <w:tcW w:w="8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9"/>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86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Note Payable</w:t>
      </w:r>
    </w:p>
    <w:p>
      <w:pPr>
        <w:spacing w:after="0" w:line="139"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On August 3, 2018, the Company refinanced its $3.0 million revolving credit facility and $50.0 million term note payable to a $13.0 million revolving credit facility and $40.0 million term note payable in order to obtain a more favorable interest rate on the outstanding debt. The Company has the right, subject to approval by the administrative agent and each issuing bank, to increase the commitments under the credit facilities an additional $50.0 million.</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$13.0 million revolving credit facility accrues interest on amounts drawn at an initial interest rate of LIBOR plus 2.50%, then at an interest rate determined by the Company's leverage ratio for the preceding period. At September 30, 2018, the Company had $10.0 million drawn against the revolver. At September 30, 2018, the Company had a letter of credit of $500,000 applied against the maximum borrowing availability, thus amounts available to draw totaled $2,500,000. The revolving credit facility is collateralized by substantially all the Company’s assets, which includes rights to future commissions. Interest payment on the revolving credit facility totaled $72 thousand for the three and nine months ended September 30, 2018.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$40.0 million term note accrues interest at an initial interest rate of LIBOR plus 2.5%, then at an interest rate determined by the Company's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leverage ratio for the preceding period. The aggregate principal amount of the term note as of September 30, 2018 is $39.5 million, payable in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quarterly installments of (x) $500,000 from the fiscal quarter ending December 31, 2018 through the fiscal quarter ending June 30, 2019, (y)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$750,000 from the fiscal quarter ending September 30, 2019 through the fiscal quarter ending June 30, 2020, and (z) $1,250,000 from the fiscal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quarter ending September 30, 2020 through the fiscal quarter ending June 30, 2021, with a balloon payment of the entire unpaid principal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amount of the term note on August 3, 2021.The term note is collateralized by substantially all the Company’s assets, which includes rights to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future commissions.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for each leverage ratio tier are as follows: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4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55" w:lineRule="exact"/>
        <w:rPr>
          <w:sz w:val="20"/>
          <w:szCs w:val="20"/>
          <w:color w:val="auto"/>
        </w:rPr>
      </w:pPr>
    </w:p>
    <w:tbl>
      <w:tblPr>
        <w:tblLayout w:type="fixed"/>
        <w:tblInd w:w="3500" w:type="dxa"/>
        <w:tblCellMar>
          <w:top w:w="0" w:type="dxa"/>
          <w:left w:w="0" w:type="dxa"/>
          <w:bottom w:w="0" w:type="dxa"/>
          <w:right w:w="0" w:type="dxa"/>
        </w:tblCellMar>
      </w:tblPr>
      <w:tr>
        <w:trPr>
          <w:trHeight w:val="245"/>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Leverage Ratio</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Interest Rate</w:t>
            </w:r>
          </w:p>
        </w:tc>
      </w:tr>
      <w:tr>
        <w:trPr>
          <w:trHeight w:val="255"/>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&lt; 1.50x</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LIBOR + 175.0 bps</w:t>
            </w:r>
          </w:p>
        </w:tc>
      </w:tr>
      <w:tr>
        <w:trPr>
          <w:trHeight w:val="249"/>
        </w:trPr>
        <w:tc>
          <w:tcPr>
            <w:tcW w:w="2160" w:type="dxa"/>
            <w:vAlign w:val="bottom"/>
          </w:tcPr>
          <w:p>
            <w:pPr>
              <w:jc w:val="center"/>
              <w:spacing w:after="0"/>
              <w:rPr>
                <w:sz w:val="20"/>
                <w:szCs w:val="20"/>
                <w:color w:val="auto"/>
              </w:rPr>
            </w:pPr>
            <w:r>
              <w:rPr>
                <w:rFonts w:ascii="Arial" w:cs="Arial" w:eastAsia="Arial" w:hAnsi="Arial"/>
                <w:sz w:val="18"/>
                <w:szCs w:val="18"/>
                <w:color w:val="auto"/>
                <w:w w:val="97"/>
              </w:rPr>
              <w:t>&gt; 1.50x</w:t>
            </w:r>
          </w:p>
        </w:tc>
        <w:tc>
          <w:tcPr>
            <w:tcW w:w="2280" w:type="dxa"/>
            <w:vAlign w:val="bottom"/>
          </w:tcPr>
          <w:p>
            <w:pPr>
              <w:jc w:val="center"/>
              <w:spacing w:after="0"/>
              <w:rPr>
                <w:sz w:val="20"/>
                <w:szCs w:val="20"/>
                <w:color w:val="auto"/>
              </w:rPr>
            </w:pPr>
            <w:r>
              <w:rPr>
                <w:rFonts w:ascii="Arial" w:cs="Arial" w:eastAsia="Arial" w:hAnsi="Arial"/>
                <w:sz w:val="18"/>
                <w:szCs w:val="18"/>
                <w:color w:val="auto"/>
              </w:rPr>
              <w:t>LIBOR + 200.0 bps</w:t>
            </w:r>
          </w:p>
        </w:tc>
      </w:tr>
      <w:tr>
        <w:trPr>
          <w:trHeight w:val="262"/>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&gt; 2.50x</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LIBOR + 225.0 bps</w:t>
            </w:r>
          </w:p>
        </w:tc>
      </w:tr>
      <w:tr>
        <w:trPr>
          <w:trHeight w:val="242"/>
        </w:trPr>
        <w:tc>
          <w:tcPr>
            <w:tcW w:w="2160" w:type="dxa"/>
            <w:vAlign w:val="bottom"/>
          </w:tcPr>
          <w:p>
            <w:pPr>
              <w:jc w:val="center"/>
              <w:spacing w:after="0"/>
              <w:rPr>
                <w:sz w:val="20"/>
                <w:szCs w:val="20"/>
                <w:color w:val="auto"/>
              </w:rPr>
            </w:pPr>
            <w:r>
              <w:rPr>
                <w:rFonts w:ascii="Arial" w:cs="Arial" w:eastAsia="Arial" w:hAnsi="Arial"/>
                <w:sz w:val="18"/>
                <w:szCs w:val="18"/>
                <w:color w:val="auto"/>
                <w:w w:val="97"/>
              </w:rPr>
              <w:t>&gt; 3.50x</w:t>
            </w:r>
          </w:p>
        </w:tc>
        <w:tc>
          <w:tcPr>
            <w:tcW w:w="2280" w:type="dxa"/>
            <w:vAlign w:val="bottom"/>
          </w:tcPr>
          <w:p>
            <w:pPr>
              <w:jc w:val="center"/>
              <w:spacing w:after="0"/>
              <w:rPr>
                <w:sz w:val="20"/>
                <w:szCs w:val="20"/>
                <w:color w:val="auto"/>
              </w:rPr>
            </w:pPr>
            <w:r>
              <w:rPr>
                <w:rFonts w:ascii="Arial" w:cs="Arial" w:eastAsia="Arial" w:hAnsi="Arial"/>
                <w:sz w:val="18"/>
                <w:szCs w:val="18"/>
                <w:color w:val="auto"/>
              </w:rPr>
              <w:t>LIBOR + 250.0 bps</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Maturities of the term note payable for the next four calendar years as of September 30, 2018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6" w:lineRule="exact"/>
        <w:rPr>
          <w:sz w:val="20"/>
          <w:szCs w:val="20"/>
          <w:color w:val="auto"/>
        </w:rPr>
      </w:pPr>
    </w:p>
    <w:tbl>
      <w:tblPr>
        <w:tblLayout w:type="fixed"/>
        <w:tblInd w:w="2780" w:type="dxa"/>
        <w:tblCellMar>
          <w:top w:w="0" w:type="dxa"/>
          <w:left w:w="0" w:type="dxa"/>
          <w:bottom w:w="0" w:type="dxa"/>
          <w:right w:w="0" w:type="dxa"/>
        </w:tblCellMar>
      </w:tblPr>
      <w:tr>
        <w:trPr>
          <w:trHeight w:val="245"/>
        </w:trPr>
        <w:tc>
          <w:tcPr>
            <w:tcW w:w="29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55"/>
        </w:trPr>
        <w:tc>
          <w:tcPr>
            <w:tcW w:w="2900" w:type="dxa"/>
            <w:vAlign w:val="bottom"/>
            <w:shd w:val="clear" w:color="auto" w:fill="CCEEFF"/>
          </w:tcPr>
          <w:p>
            <w:pPr>
              <w:jc w:val="right"/>
              <w:ind w:right="2391"/>
              <w:spacing w:after="0"/>
              <w:rPr>
                <w:sz w:val="20"/>
                <w:szCs w:val="20"/>
                <w:color w:val="auto"/>
              </w:rPr>
            </w:pPr>
            <w:r>
              <w:rPr>
                <w:rFonts w:ascii="Arial" w:cs="Arial" w:eastAsia="Arial" w:hAnsi="Arial"/>
                <w:sz w:val="18"/>
                <w:szCs w:val="18"/>
                <w:color w:val="auto"/>
                <w:w w:val="99"/>
              </w:rPr>
              <w:t>2018</w:t>
            </w:r>
          </w:p>
        </w:tc>
        <w:tc>
          <w:tcPr>
            <w:tcW w:w="11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9"/>
        </w:trPr>
        <w:tc>
          <w:tcPr>
            <w:tcW w:w="2900" w:type="dxa"/>
            <w:vAlign w:val="bottom"/>
          </w:tcPr>
          <w:p>
            <w:pPr>
              <w:jc w:val="right"/>
              <w:ind w:right="2391"/>
              <w:spacing w:after="0"/>
              <w:rPr>
                <w:sz w:val="20"/>
                <w:szCs w:val="20"/>
                <w:color w:val="auto"/>
              </w:rPr>
            </w:pPr>
            <w:r>
              <w:rPr>
                <w:rFonts w:ascii="Arial" w:cs="Arial" w:eastAsia="Arial" w:hAnsi="Arial"/>
                <w:sz w:val="18"/>
                <w:szCs w:val="18"/>
                <w:color w:val="auto"/>
                <w:w w:val="99"/>
              </w:rPr>
              <w:t>2019</w:t>
            </w:r>
          </w:p>
        </w:tc>
        <w:tc>
          <w:tcPr>
            <w:tcW w:w="1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62"/>
        </w:trPr>
        <w:tc>
          <w:tcPr>
            <w:tcW w:w="2900" w:type="dxa"/>
            <w:vAlign w:val="bottom"/>
            <w:shd w:val="clear" w:color="auto" w:fill="CCEEFF"/>
          </w:tcPr>
          <w:p>
            <w:pPr>
              <w:jc w:val="right"/>
              <w:ind w:right="2391"/>
              <w:spacing w:after="0"/>
              <w:rPr>
                <w:sz w:val="20"/>
                <w:szCs w:val="20"/>
                <w:color w:val="auto"/>
              </w:rPr>
            </w:pPr>
            <w:r>
              <w:rPr>
                <w:rFonts w:ascii="Arial" w:cs="Arial" w:eastAsia="Arial" w:hAnsi="Arial"/>
                <w:sz w:val="18"/>
                <w:szCs w:val="18"/>
                <w:color w:val="auto"/>
                <w:w w:val="99"/>
              </w:rPr>
              <w:t>2020</w:t>
            </w:r>
          </w:p>
        </w:tc>
        <w:tc>
          <w:tcPr>
            <w:tcW w:w="1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9"/>
        </w:trPr>
        <w:tc>
          <w:tcPr>
            <w:tcW w:w="2900" w:type="dxa"/>
            <w:vAlign w:val="bottom"/>
            <w:tcBorders>
              <w:bottom w:val="single" w:sz="8" w:color="CCEEFF"/>
            </w:tcBorders>
          </w:tcPr>
          <w:p>
            <w:pPr>
              <w:jc w:val="right"/>
              <w:ind w:right="2391"/>
              <w:spacing w:after="0"/>
              <w:rPr>
                <w:sz w:val="20"/>
                <w:szCs w:val="20"/>
                <w:color w:val="auto"/>
              </w:rPr>
            </w:pPr>
            <w:r>
              <w:rPr>
                <w:rFonts w:ascii="Arial" w:cs="Arial" w:eastAsia="Arial" w:hAnsi="Arial"/>
                <w:sz w:val="18"/>
                <w:szCs w:val="18"/>
                <w:color w:val="auto"/>
                <w:w w:val="99"/>
              </w:rPr>
              <w:t>2021</w:t>
            </w: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w:t>
            </w:r>
          </w:p>
        </w:tc>
      </w:tr>
      <w:tr>
        <w:trPr>
          <w:trHeight w:val="249"/>
        </w:trPr>
        <w:tc>
          <w:tcPr>
            <w:tcW w:w="29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39,500</w:t>
            </w:r>
          </w:p>
        </w:tc>
      </w:tr>
      <w:tr>
        <w:trPr>
          <w:trHeight w:val="20"/>
        </w:trPr>
        <w:tc>
          <w:tcPr>
            <w:tcW w:w="2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$10.0 million drawn against the revolver is coterminous with the term loan and is due in full on August 3, 2021.</w:t>
      </w:r>
    </w:p>
    <w:p>
      <w:pPr>
        <w:spacing w:after="0" w:line="1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Loan origination fees of $606 thousand at September 30, 2018 are reflected as a reduction to the note balance and will be amortized through interest expense over three years (the term of the note payable). As part of the refinancing, $871 thousand of origination fees from previous debt were immediately recognized as interest expense.</w:t>
      </w:r>
    </w:p>
    <w:p>
      <w:pPr>
        <w:spacing w:after="0" w:line="9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Company’s note payable agreement contains certain restrictions and covenants. Under these restrictions, the Company is limited in the amount of debt incurred and distributions payable. In addition, the credit agreement contains certain change of control provisions that, if broken, would trigger a default. Finally, the Company must maintain certain financial ratios. As of September 30, 2018, the Company was in compliance with these covenants.</w:t>
      </w:r>
    </w:p>
    <w:p>
      <w:pPr>
        <w:spacing w:after="0" w:line="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Because of both instruments’ origination date and variable interest rate, the note payable balance at September 30, 2018 and December 31, 2017, approximates fair value using Level 2 inputs, described below.</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11" w:lineRule="exact"/>
        <w:rPr>
          <w:sz w:val="20"/>
          <w:szCs w:val="20"/>
          <w:color w:val="auto"/>
        </w:rPr>
      </w:pPr>
    </w:p>
    <w:p>
      <w:pPr>
        <w:ind w:left="280" w:hanging="273"/>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that are accessible at the measurement date for identical, unrestricted assets.</w:t>
      </w:r>
    </w:p>
    <w:p>
      <w:pPr>
        <w:spacing w:after="0" w:line="7" w:lineRule="exact"/>
        <w:rPr>
          <w:rFonts w:ascii="Arial" w:cs="Arial" w:eastAsia="Arial" w:hAnsi="Arial"/>
          <w:sz w:val="18"/>
          <w:szCs w:val="18"/>
          <w:color w:val="auto"/>
        </w:rPr>
      </w:pPr>
    </w:p>
    <w:p>
      <w:pPr>
        <w:ind w:left="280" w:right="40" w:hanging="273"/>
        <w:spacing w:after="0" w:line="249"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2—Significant other observable inputs other than Level 1 prices such as quoted prices in markets that are not active, quoted prices for similar assets or other inputs that are observable, either directly or indirectly, for substantially the full term of the asset.</w:t>
      </w:r>
    </w:p>
    <w:p>
      <w:pPr>
        <w:ind w:left="280" w:right="280" w:hanging="273"/>
        <w:spacing w:after="0" w:line="259"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3—Significant unobservable inputs that reflect a reporting entity’s own assumptions about the assumptions that market participants would use in pricing an asset or liability.</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The valuation techniques used need to maximize the use of observable inputs and minimize the use of unobservable inputs.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Commitments and Contingencies</w:t>
      </w:r>
    </w:p>
    <w:p>
      <w:pPr>
        <w:spacing w:after="0" w:line="2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leases its facilities under non-cancelable operating leases, expiring in various years through 2029. In addition to monthly lease payments, the lease agreements require the Company to reimburse the lessors for its portion of operating costs each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schedule of future minimum lease payments as of September 30,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0" w:right="279" w:bottom="1440" w:gutter="0" w:footer="0" w:header="0"/>
        </w:sectPr>
      </w:pPr>
    </w:p>
    <w:bookmarkStart w:id="14" w:name="page15"/>
    <w:bookmarkEnd w:id="14"/>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8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359" w:lineRule="exact"/>
        <w:rPr>
          <w:sz w:val="20"/>
          <w:szCs w:val="20"/>
          <w:color w:val="auto"/>
        </w:rPr>
      </w:pPr>
    </w:p>
    <w:tbl>
      <w:tblPr>
        <w:tblLayout w:type="fixed"/>
        <w:tblInd w:w="2740" w:type="dxa"/>
        <w:tblCellMar>
          <w:top w:w="0" w:type="dxa"/>
          <w:left w:w="0" w:type="dxa"/>
          <w:bottom w:w="0" w:type="dxa"/>
          <w:right w:w="0" w:type="dxa"/>
        </w:tblCellMar>
      </w:tblPr>
      <w:tr>
        <w:trPr>
          <w:trHeight w:val="262"/>
        </w:trPr>
        <w:tc>
          <w:tcPr>
            <w:tcW w:w="294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Amount</w:t>
            </w:r>
          </w:p>
        </w:tc>
      </w:tr>
      <w:tr>
        <w:trPr>
          <w:trHeight w:val="249"/>
        </w:trPr>
        <w:tc>
          <w:tcPr>
            <w:tcW w:w="2940" w:type="dxa"/>
            <w:vAlign w:val="bottom"/>
          </w:tcPr>
          <w:p>
            <w:pPr>
              <w:ind w:left="20"/>
              <w:spacing w:after="0"/>
              <w:rPr>
                <w:sz w:val="20"/>
                <w:szCs w:val="20"/>
                <w:color w:val="auto"/>
              </w:rPr>
            </w:pPr>
            <w:r>
              <w:rPr>
                <w:rFonts w:ascii="Arial" w:cs="Arial" w:eastAsia="Arial" w:hAnsi="Arial"/>
                <w:sz w:val="18"/>
                <w:szCs w:val="18"/>
                <w:color w:val="auto"/>
              </w:rPr>
              <w:t>2018</w:t>
            </w:r>
          </w:p>
        </w:tc>
        <w:tc>
          <w:tcPr>
            <w:tcW w:w="1240" w:type="dxa"/>
            <w:vAlign w:val="bottom"/>
          </w:tcPr>
          <w:p>
            <w:pPr>
              <w:jc w:val="right"/>
              <w:ind w:right="1031"/>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62"/>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4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49"/>
        </w:trPr>
        <w:tc>
          <w:tcPr>
            <w:tcW w:w="2940" w:type="dxa"/>
            <w:vAlign w:val="bottom"/>
          </w:tcPr>
          <w:p>
            <w:pPr>
              <w:ind w:left="20"/>
              <w:spacing w:after="0"/>
              <w:rPr>
                <w:sz w:val="20"/>
                <w:szCs w:val="20"/>
                <w:color w:val="auto"/>
              </w:rPr>
            </w:pPr>
            <w:r>
              <w:rPr>
                <w:rFonts w:ascii="Arial" w:cs="Arial" w:eastAsia="Arial" w:hAnsi="Arial"/>
                <w:sz w:val="18"/>
                <w:szCs w:val="18"/>
                <w:color w:val="auto"/>
              </w:rPr>
              <w:t>2020</w:t>
            </w:r>
          </w:p>
        </w:tc>
        <w:tc>
          <w:tcPr>
            <w:tcW w:w="1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2,588</w:t>
            </w:r>
          </w:p>
        </w:tc>
      </w:tr>
      <w:tr>
        <w:trPr>
          <w:trHeight w:val="262"/>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4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r>
      <w:tr>
        <w:trPr>
          <w:trHeight w:val="249"/>
        </w:trPr>
        <w:tc>
          <w:tcPr>
            <w:tcW w:w="2940" w:type="dxa"/>
            <w:vAlign w:val="bottom"/>
          </w:tcPr>
          <w:p>
            <w:pPr>
              <w:ind w:left="20"/>
              <w:spacing w:after="0"/>
              <w:rPr>
                <w:sz w:val="20"/>
                <w:szCs w:val="20"/>
                <w:color w:val="auto"/>
              </w:rPr>
            </w:pPr>
            <w:r>
              <w:rPr>
                <w:rFonts w:ascii="Arial" w:cs="Arial" w:eastAsia="Arial" w:hAnsi="Arial"/>
                <w:sz w:val="18"/>
                <w:szCs w:val="18"/>
                <w:color w:val="auto"/>
              </w:rPr>
              <w:t>2022</w:t>
            </w:r>
          </w:p>
        </w:tc>
        <w:tc>
          <w:tcPr>
            <w:tcW w:w="1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55"/>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2023-2029</w:t>
            </w:r>
          </w:p>
        </w:tc>
        <w:tc>
          <w:tcPr>
            <w:tcW w:w="124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14,043</w:t>
            </w:r>
          </w:p>
        </w:tc>
      </w:tr>
      <w:tr>
        <w:trPr>
          <w:trHeight w:val="249"/>
        </w:trPr>
        <w:tc>
          <w:tcPr>
            <w:tcW w:w="2940" w:type="dxa"/>
            <w:vAlign w:val="bottom"/>
          </w:tcPr>
          <w:p>
            <w:pPr>
              <w:spacing w:after="0"/>
              <w:rPr>
                <w:sz w:val="21"/>
                <w:szCs w:val="21"/>
                <w:color w:val="auto"/>
              </w:rPr>
            </w:pPr>
          </w:p>
        </w:tc>
        <w:tc>
          <w:tcPr>
            <w:tcW w:w="1240" w:type="dxa"/>
            <w:vAlign w:val="bottom"/>
            <w:tcBorders>
              <w:bottom w:val="single" w:sz="8" w:color="auto"/>
            </w:tcBorders>
          </w:tcPr>
          <w:p>
            <w:pPr>
              <w:jc w:val="right"/>
              <w:ind w:right="1031"/>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24,084</w:t>
            </w:r>
          </w:p>
        </w:tc>
      </w:tr>
      <w:tr>
        <w:trPr>
          <w:trHeight w:val="20"/>
        </w:trPr>
        <w:tc>
          <w:tcPr>
            <w:tcW w:w="2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Income Taxes</w:t>
      </w:r>
    </w:p>
    <w:p>
      <w:pPr>
        <w:spacing w:after="0" w:line="247"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As a result of the Reorganization Transactions and the Offering, GSHD became the sole managing member of GF, which is treated as a partnership for U.S. federal and most applicable state and local income tax purposes. As a partnership, GF is not subject to U.S. federal and certain state and local income taxes. Any taxable income or loss generated by GF is passed through to and included in the taxable income or loss of its members, including GSHD, on a pro rata basis. GSHD is subject to U.S. federal income taxes, in addition to state and local income taxes, with respect to GSHD's allocable share of income of GF.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7"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 xml:space="preserve">A reconciliation of income tax expense computed at the U.S. federal statutory income tax rate to the income tax expense recognized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b w:val="1"/>
                <w:bCs w:val="1"/>
                <w:color w:val="auto"/>
                <w:w w:val="99"/>
              </w:rPr>
              <w:t>Nine months ended</w:t>
            </w:r>
          </w:p>
        </w:tc>
        <w:tc>
          <w:tcPr>
            <w:tcW w:w="780" w:type="dxa"/>
            <w:vAlign w:val="bottom"/>
            <w:tcBorders>
              <w:bottom w:val="single" w:sz="8" w:color="auto"/>
            </w:tcBorders>
          </w:tcPr>
          <w:p>
            <w:pPr>
              <w:spacing w:after="0"/>
              <w:rPr>
                <w:sz w:val="21"/>
                <w:szCs w:val="21"/>
                <w:color w:val="auto"/>
              </w:rPr>
            </w:pPr>
          </w:p>
        </w:tc>
      </w:tr>
      <w:tr>
        <w:trPr>
          <w:trHeight w:val="205"/>
        </w:trPr>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11"/>
              <w:spacing w:after="0" w:line="206"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7"/>
                <w:szCs w:val="17"/>
                <w:color w:val="auto"/>
              </w:rPr>
            </w:pPr>
          </w:p>
        </w:tc>
        <w:tc>
          <w:tcPr>
            <w:tcW w:w="1560" w:type="dxa"/>
            <w:vAlign w:val="bottom"/>
            <w:gridSpan w:val="2"/>
          </w:tcPr>
          <w:p>
            <w:pPr>
              <w:ind w:left="120"/>
              <w:spacing w:after="0" w:line="206" w:lineRule="exact"/>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7"/>
                <w:szCs w:val="17"/>
                <w:color w:val="auto"/>
              </w:rPr>
            </w:pPr>
          </w:p>
        </w:tc>
        <w:tc>
          <w:tcPr>
            <w:tcW w:w="1460" w:type="dxa"/>
            <w:vAlign w:val="bottom"/>
          </w:tcPr>
          <w:p>
            <w:pPr>
              <w:jc w:val="right"/>
              <w:ind w:right="11"/>
              <w:spacing w:after="0" w:line="206" w:lineRule="exact"/>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5"/>
        </w:trPr>
        <w:tc>
          <w:tcPr>
            <w:tcW w:w="43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8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rPr>
              <w:t>September 30, 2017</w:t>
            </w:r>
          </w:p>
        </w:tc>
      </w:tr>
      <w:tr>
        <w:trPr>
          <w:trHeight w:val="23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(loss) before taxes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(18,951)</w:t>
            </w:r>
          </w:p>
        </w:tc>
        <w:tc>
          <w:tcPr>
            <w:tcW w:w="1060" w:type="dxa"/>
            <w:vAlign w:val="bottom"/>
            <w:tcBorders>
              <w:bottom w:val="single" w:sz="8" w:color="CCEEFF"/>
            </w:tcBorders>
            <w:shd w:val="clear" w:color="auto" w:fill="CCEEFF"/>
          </w:tcPr>
          <w:p>
            <w:pPr>
              <w:jc w:val="center"/>
              <w:ind w:right="83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8,300</w:t>
            </w:r>
          </w:p>
        </w:tc>
      </w:tr>
      <w:tr>
        <w:trPr>
          <w:trHeight w:val="227"/>
        </w:trPr>
        <w:tc>
          <w:tcPr>
            <w:tcW w:w="4320" w:type="dxa"/>
            <w:vAlign w:val="bottom"/>
          </w:tcPr>
          <w:p>
            <w:pPr>
              <w:ind w:left="40"/>
              <w:spacing w:after="0"/>
              <w:rPr>
                <w:sz w:val="20"/>
                <w:szCs w:val="20"/>
                <w:color w:val="auto"/>
              </w:rPr>
            </w:pPr>
            <w:r>
              <w:rPr>
                <w:rFonts w:ascii="Arial" w:cs="Arial" w:eastAsia="Arial" w:hAnsi="Arial"/>
                <w:sz w:val="18"/>
                <w:szCs w:val="18"/>
                <w:color w:val="auto"/>
              </w:rPr>
              <w:t>Less: (income) prior to the Reorganization</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Transactions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10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w:t>
            </w:r>
          </w:p>
        </w:tc>
      </w:tr>
      <w:tr>
        <w:trPr>
          <w:trHeight w:val="249"/>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taxes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(23,340)</w:t>
            </w:r>
          </w:p>
        </w:tc>
        <w:tc>
          <w:tcPr>
            <w:tcW w:w="1060" w:type="dxa"/>
            <w:vAlign w:val="bottom"/>
            <w:shd w:val="clear" w:color="auto" w:fill="CCEEFF"/>
          </w:tcPr>
          <w:p>
            <w:pPr>
              <w:jc w:val="center"/>
              <w:ind w:right="8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322"/>
        </w:trPr>
        <w:tc>
          <w:tcPr>
            <w:tcW w:w="4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69"/>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at U.S. federal statutory rate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60" w:type="dxa"/>
            <w:vAlign w:val="bottom"/>
            <w:shd w:val="clear" w:color="auto" w:fill="CCEEFF"/>
          </w:tcPr>
          <w:p>
            <w:pPr>
              <w:jc w:val="center"/>
              <w:ind w:right="8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7"/>
        </w:trPr>
        <w:tc>
          <w:tcPr>
            <w:tcW w:w="4320" w:type="dxa"/>
            <w:vAlign w:val="bottom"/>
          </w:tcPr>
          <w:p>
            <w:pPr>
              <w:ind w:left="40"/>
              <w:spacing w:after="0"/>
              <w:rPr>
                <w:sz w:val="20"/>
                <w:szCs w:val="20"/>
                <w:color w:val="auto"/>
              </w:rPr>
            </w:pPr>
            <w:r>
              <w:rPr>
                <w:rFonts w:ascii="Arial" w:cs="Arial" w:eastAsia="Arial" w:hAnsi="Arial"/>
                <w:sz w:val="18"/>
                <w:szCs w:val="18"/>
                <w:color w:val="auto"/>
              </w:rPr>
              <w:t>Tax on income not subject to entity level federal</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4320" w:type="dxa"/>
            <w:vAlign w:val="bottom"/>
          </w:tcPr>
          <w:p>
            <w:pPr>
              <w:ind w:left="40"/>
              <w:spacing w:after="0"/>
              <w:rPr>
                <w:sz w:val="20"/>
                <w:szCs w:val="20"/>
                <w:color w:val="auto"/>
              </w:rPr>
            </w:pPr>
            <w:r>
              <w:rPr>
                <w:rFonts w:ascii="Arial" w:cs="Arial" w:eastAsia="Arial" w:hAnsi="Arial"/>
                <w:sz w:val="18"/>
                <w:szCs w:val="18"/>
                <w:color w:val="auto"/>
              </w:rPr>
              <w:t>income tax</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(382)</w:t>
            </w:r>
          </w:p>
        </w:tc>
        <w:tc>
          <w:tcPr>
            <w:tcW w:w="106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Permanent Differences:</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62"/>
        </w:trPr>
        <w:tc>
          <w:tcPr>
            <w:tcW w:w="4320" w:type="dxa"/>
            <w:vAlign w:val="bottom"/>
          </w:tcPr>
          <w:p>
            <w:pPr>
              <w:ind w:left="160"/>
              <w:spacing w:after="0"/>
              <w:rPr>
                <w:sz w:val="20"/>
                <w:szCs w:val="20"/>
                <w:color w:val="auto"/>
              </w:rPr>
            </w:pPr>
            <w:r>
              <w:rPr>
                <w:rFonts w:ascii="Arial" w:cs="Arial" w:eastAsia="Arial" w:hAnsi="Arial"/>
                <w:sz w:val="18"/>
                <w:szCs w:val="18"/>
                <w:color w:val="auto"/>
              </w:rPr>
              <w:t>Non-deductible stock compensation costs</w:t>
            </w:r>
          </w:p>
        </w:tc>
        <w:tc>
          <w:tcPr>
            <w:tcW w:w="2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2,038</w:t>
            </w:r>
          </w:p>
        </w:tc>
        <w:tc>
          <w:tcPr>
            <w:tcW w:w="106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3,479</w:t>
            </w:r>
          </w:p>
        </w:tc>
        <w:tc>
          <w:tcPr>
            <w:tcW w:w="10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2"/>
        </w:trPr>
        <w:tc>
          <w:tcPr>
            <w:tcW w:w="4320" w:type="dxa"/>
            <w:vAlign w:val="bottom"/>
          </w:tcPr>
          <w:p>
            <w:pPr>
              <w:ind w:left="160"/>
              <w:spacing w:after="0"/>
              <w:rPr>
                <w:sz w:val="20"/>
                <w:szCs w:val="20"/>
                <w:color w:val="auto"/>
              </w:rPr>
            </w:pPr>
            <w:r>
              <w:rPr>
                <w:rFonts w:ascii="Arial" w:cs="Arial" w:eastAsia="Arial" w:hAnsi="Arial"/>
                <w:sz w:val="18"/>
                <w:szCs w:val="18"/>
                <w:color w:val="auto"/>
              </w:rPr>
              <w:t>Other permanent differences</w:t>
            </w:r>
          </w:p>
        </w:tc>
        <w:tc>
          <w:tcPr>
            <w:tcW w:w="2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6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2"/>
        </w:trPr>
        <w:tc>
          <w:tcPr>
            <w:tcW w:w="4320" w:type="dxa"/>
            <w:vAlign w:val="bottom"/>
          </w:tcPr>
          <w:p>
            <w:pPr>
              <w:ind w:left="40"/>
              <w:spacing w:after="0"/>
              <w:rPr>
                <w:sz w:val="20"/>
                <w:szCs w:val="20"/>
                <w:color w:val="auto"/>
              </w:rPr>
            </w:pPr>
            <w:r>
              <w:rPr>
                <w:rFonts w:ascii="Arial" w:cs="Arial" w:eastAsia="Arial" w:hAnsi="Arial"/>
                <w:sz w:val="18"/>
                <w:szCs w:val="18"/>
                <w:color w:val="auto"/>
              </w:rPr>
              <w:t>Other Reconciling items:</w:t>
            </w: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9"/>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9"/>
        </w:trPr>
        <w:tc>
          <w:tcPr>
            <w:tcW w:w="4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318</w:t>
            </w:r>
          </w:p>
        </w:tc>
        <w:tc>
          <w:tcPr>
            <w:tcW w:w="1060" w:type="dxa"/>
            <w:vAlign w:val="bottom"/>
            <w:tcBorders>
              <w:bottom w:val="single" w:sz="8" w:color="auto"/>
            </w:tcBorders>
          </w:tcPr>
          <w:p>
            <w:pPr>
              <w:jc w:val="center"/>
              <w:ind w:right="83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5" w:name="page16"/>
    <w:bookmarkEnd w:id="15"/>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2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69" w:lineRule="exact"/>
        <w:rPr>
          <w:sz w:val="20"/>
          <w:szCs w:val="20"/>
          <w:color w:val="auto"/>
        </w:rPr>
      </w:pPr>
    </w:p>
    <w:tbl>
      <w:tblPr>
        <w:tblLayout w:type="fixed"/>
        <w:tblInd w:w="126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December 31, 2017</w:t>
            </w:r>
          </w:p>
        </w:tc>
      </w:tr>
      <w:tr>
        <w:trPr>
          <w:trHeight w:val="249"/>
        </w:trPr>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Investment in partnership</w:t>
            </w:r>
          </w:p>
        </w:tc>
        <w:tc>
          <w:tcPr>
            <w:tcW w:w="2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w:t>
            </w:r>
          </w:p>
        </w:tc>
      </w:tr>
      <w:tr>
        <w:trPr>
          <w:trHeight w:val="24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deferred tax asset (liability)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GSHD has determined there are no material uncertain tax positions as of September 30,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GF intends to make an election under Section 754 of the Internal Revenue Code of 1986, as amended, and the regulations thereunder (the “Code”) effective for each taxable year in which a redemption or exchange of LLC Units and corresponding Class B common stock for shares of Class A common stock occurs. Future taxable redemptions or exchanges are expected to result in tax basis adjustments to the assets of GF that will be allocated to the Company and thus produce favorable tax attributes. These tax attributes would not be available to us in the absence of those transactions. The anticipated tax basis adjustments are expected to reduce the amount of tax that GSHD would otherwise be required to pay in the future.</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GSHD entered into a tax receivable agreement with the Pre-IPO LLC Members on May 1, 2018 that provides for the payment by GSHD to the Pre-IPO LLC Members of 85% of the amount of cash savings, if any, in U.S. federal, state and local income tax or franchise tax that GSHD actually realizes as a result of (i) any increase in tax basis in GSHD's assets and (ii) tax benefits related to imputed interest deemed arising as a result of payments made under the tax receivable agreement.</w:t>
      </w:r>
    </w:p>
    <w:p>
      <w:pPr>
        <w:spacing w:after="0" w:line="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the three and nine month period ended September 30, 2018, no distributions or redemptions were made that triggered an increase in GSHD's 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Other income (expense)</w:t>
      </w:r>
    </w:p>
    <w:p>
      <w:pPr>
        <w:spacing w:after="0" w:line="139"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On June 1, 2017, GF executed a buyout agreement with a franchisee per the terms of a franchise agreement executed in 2014. As part of the buyout, the departing franchisee purchased Goosehead’s economic interests in future royalty fees. Goosehead recognized a $3.5 million gain on the transaction in June 2017 which is included in Other income on the consolidated statement of income.</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37"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GSHD has a total of 13,533 thousand shares of its Class A common stock outstanding at September 30, 2018. Each share of Class A common stock holds economic rights and entitles its holder to one vote per share on all matters submitted to a vote of the stockholders of GSHD.</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37"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GSHD has a total of 22,747 thousand shares of its Class B common stock outstanding at September 30, 2018. Each share of Class B common stock has no economic rights but entitles its holder to one vote per share on all matters submitted to a vote of the stockholders of GSHD.</w:t>
      </w:r>
    </w:p>
    <w:p>
      <w:pPr>
        <w:spacing w:after="0" w:line="68"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Holders of Class A common stock and Class B common stock vote together as a single class on all matters presented to GSHD's shareholders for their vote or approval, except as otherwise required by applicable law, by agreement, or by GSHD's certificate of incorporation.</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3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Following the Offering, GSHD became the sole managing member of GF and, as a result, it consolidates the financial results of GF. GSHD reports a non-controlling interest representing the economic interest in GF held by the other members of GF.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0" w:right="299" w:bottom="1440" w:gutter="0" w:footer="0" w:header="0"/>
        </w:sectPr>
      </w:pPr>
    </w:p>
    <w:bookmarkStart w:id="16" w:name="page17"/>
    <w:bookmarkEnd w:id="16"/>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8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On a quarterly basis, GF makes distributions to the LLC Unit holders on a pro rata basis. For the three and nine months ended September 30, 2018, GF made distributions of $1.4 million and $3.8 million, respectively, of which $0.9 million and $2.9 million, where made to Pre-IPO LLC Members, respectively. The remaining $0.5 million and $0.9 million, respectively, were made to GSHD and were eliminated in consolidation.</w:t>
      </w:r>
    </w:p>
    <w:p>
      <w:pPr>
        <w:spacing w:after="0" w:line="7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Under the amended and restated Goosehead Financial, LLC Agreement, the Pre-IPO LLC Members have the right, from and after the completion of the Offering (subject to the terms of the amended and restated Goosehead Financial, LLC Agreement), to require GSHD to redeem all or a portion of their LLC Units for, at GSHD's election, newly-issued shares of Class A common stock on a one-for-one basis or a cash payment equal to the volume weighted average market price of one share of GSHD's Class A common stock for each LLC Unit redeemed (subject to customary adjustments, including for stock splits, stock dividends and reclassifications) in accordance with the terms of the amended and restated Goosehead Financial, LLC Agreement. Additionally, in the event of a redemption request by a Pre-IPO LLC Member, GSHD may, at its option, effect a direct exchange of cash or Class A common stock for LLC Units in lieu of such a redemption. Shares of Class B common stock will be cancelled on a one-for-one basis if GSHD, at the election of a Pre-IPO LLC Member, redeems or exchanges LLC Units of such Pre-IPO LLC Member pursuant to the terms of the amended and restated Goosehead Financial, LLC Agreement. Except for transfers to GSHD pursuant to the amended and restated Goosehead Financial, LLC Agreement or to certain permitted transferees, the Pre-IPO LLC Members are not permitted to sell, transfer or otherwise dispose of any LLC Units or shares of Class B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GF as of September 30, 2018 (in thousands).</w:t>
      </w:r>
    </w:p>
    <w:p>
      <w:pPr>
        <w:spacing w:after="0" w:line="268"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7040" w:type="dxa"/>
            <w:vAlign w:val="bottom"/>
          </w:tcPr>
          <w:p>
            <w:pPr>
              <w:spacing w:after="0"/>
              <w:rPr>
                <w:sz w:val="21"/>
                <w:szCs w:val="21"/>
                <w:color w:val="auto"/>
              </w:rPr>
            </w:pPr>
          </w:p>
        </w:tc>
        <w:tc>
          <w:tcPr>
            <w:tcW w:w="330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rPr>
              <w:t>September 30, 2018</w:t>
            </w:r>
          </w:p>
        </w:tc>
      </w:tr>
      <w:tr>
        <w:trPr>
          <w:trHeight w:val="249"/>
        </w:trPr>
        <w:tc>
          <w:tcPr>
            <w:tcW w:w="704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LLC Units</w:t>
            </w:r>
          </w:p>
        </w:tc>
        <w:tc>
          <w:tcPr>
            <w:tcW w:w="17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Ownership %</w:t>
            </w:r>
          </w:p>
        </w:tc>
      </w:tr>
      <w:tr>
        <w:trPr>
          <w:trHeight w:val="235"/>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Number of LLC Units held by GSHD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13,533</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37.3%</w:t>
            </w:r>
          </w:p>
        </w:tc>
      </w:tr>
      <w:tr>
        <w:trPr>
          <w:trHeight w:val="249"/>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Number of LLC Units held by non-controlling interest holders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22,747</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62.7%</w:t>
            </w:r>
          </w:p>
        </w:tc>
      </w:tr>
      <w:tr>
        <w:trPr>
          <w:trHeight w:val="249"/>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Number of LLC Units outstanding</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36,280</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100.0%</w:t>
            </w:r>
          </w:p>
        </w:tc>
      </w:tr>
      <w:tr>
        <w:trPr>
          <w:trHeight w:val="20"/>
        </w:trPr>
        <w:tc>
          <w:tcPr>
            <w:tcW w:w="70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to GSHD and the non-controlling interest holders. The non-controlling interest holders' weighted average ownership percentage for the three and nine months ended September 30, 2018 was 62.7%. All net income prior to the Offering is attributed to non-controlling interest holders.</w:t>
      </w:r>
    </w:p>
    <w:p>
      <w:pPr>
        <w:spacing w:after="0" w:line="9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quarter, the Company corrected a misclassification of $745 thousand of distributions from accumulated deficit to non-controlling interest to properly reflect the distributions made to Pre-IPO LLC Members during the second quarter of 2018. These amounts were previously shown as a change to accumulated deficit on the Company's quarterly report on Form 10-Q for the period ended June 30,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following table sets forth the calculation of basic earnings per share ("EPS") based on net income attributable to GSHD for the three and nine months ended September 30, 2018, divided by the basic weighted average number of Class A common stock as of September 30, 2018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 Diluted earnings per share of Class A common stock is computed by dividing net income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GSHD by the weighted average number of shares of Class A common stock outstanding adjusted to give effect to potentially dilutive securities. The Company has not included the effects of conversion of Class B shares to Class A shares in the diluted EPS calculation using the "if-converted" method, because doing so has no impact on diluted EPS.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8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tcPr>
          <w:p>
            <w:pPr>
              <w:jc w:val="right"/>
              <w:ind w:right="271"/>
              <w:spacing w:after="0"/>
              <w:rPr>
                <w:sz w:val="20"/>
                <w:szCs w:val="20"/>
                <w:color w:val="auto"/>
              </w:rPr>
            </w:pPr>
            <w:r>
              <w:rPr>
                <w:rFonts w:ascii="Arial" w:cs="Arial" w:eastAsia="Arial" w:hAnsi="Arial"/>
                <w:sz w:val="18"/>
                <w:szCs w:val="18"/>
                <w:b w:val="1"/>
                <w:bCs w:val="1"/>
                <w:color w:val="auto"/>
              </w:rPr>
              <w:t>Nine Months Ended</w:t>
            </w:r>
          </w:p>
        </w:tc>
      </w:tr>
      <w:tr>
        <w:trPr>
          <w:trHeight w:val="245"/>
        </w:trPr>
        <w:tc>
          <w:tcPr>
            <w:tcW w:w="160" w:type="dxa"/>
            <w:vAlign w:val="bottom"/>
            <w:tcBorders>
              <w:bottom w:val="single" w:sz="8" w:color="CCEEFF"/>
            </w:tcBorders>
          </w:tcPr>
          <w:p>
            <w:pPr>
              <w:spacing w:after="0"/>
              <w:rPr>
                <w:sz w:val="21"/>
                <w:szCs w:val="21"/>
                <w:color w:val="auto"/>
              </w:rPr>
            </w:pPr>
          </w:p>
        </w:tc>
        <w:tc>
          <w:tcPr>
            <w:tcW w:w="6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8"/>
              </w:rPr>
              <w:t>September 30, 2018</w:t>
            </w: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September 30, 2018</w:t>
            </w:r>
          </w:p>
        </w:tc>
      </w:tr>
      <w:tr>
        <w:trPr>
          <w:trHeight w:val="249"/>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62"/>
        </w:trPr>
        <w:tc>
          <w:tcPr>
            <w:tcW w:w="160" w:type="dxa"/>
            <w:vAlign w:val="bottom"/>
          </w:tcPr>
          <w:p>
            <w:pPr>
              <w:spacing w:after="0"/>
              <w:rPr>
                <w:sz w:val="22"/>
                <w:szCs w:val="22"/>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(18,951)</w:t>
            </w:r>
          </w:p>
        </w:tc>
      </w:tr>
      <w:tr>
        <w:trPr>
          <w:trHeight w:val="269"/>
        </w:trPr>
        <w:tc>
          <w:tcPr>
            <w:tcW w:w="160" w:type="dxa"/>
            <w:vAlign w:val="bottom"/>
            <w:shd w:val="clear" w:color="auto" w:fill="CCEEFF"/>
          </w:tcPr>
          <w:p>
            <w:pPr>
              <w:spacing w:after="0"/>
              <w:rPr>
                <w:sz w:val="23"/>
                <w:szCs w:val="23"/>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income (loss) before taxes attributable to 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r>
      <w:tr>
        <w:trPr>
          <w:trHeight w:val="249"/>
        </w:trPr>
        <w:tc>
          <w:tcPr>
            <w:tcW w:w="160" w:type="dxa"/>
            <w:vAlign w:val="bottom"/>
          </w:tcPr>
          <w:p>
            <w:pPr>
              <w:spacing w:after="0"/>
              <w:rPr>
                <w:sz w:val="21"/>
                <w:szCs w:val="21"/>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(loss) before taxes attributable to GSHD</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(8,705)</w:t>
            </w:r>
          </w:p>
        </w:tc>
      </w:tr>
      <w:tr>
        <w:trPr>
          <w:trHeight w:val="275"/>
        </w:trPr>
        <w:tc>
          <w:tcPr>
            <w:tcW w:w="160" w:type="dxa"/>
            <w:vAlign w:val="bottom"/>
            <w:tcBorders>
              <w:bottom w:val="single" w:sz="8" w:color="CCEEFF"/>
            </w:tcBorders>
            <w:shd w:val="clear" w:color="auto" w:fill="CCEEFF"/>
          </w:tcPr>
          <w:p>
            <w:pPr>
              <w:spacing w:after="0"/>
              <w:rPr>
                <w:sz w:val="23"/>
                <w:szCs w:val="23"/>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Less: income tax expense attributable to GSHD</w:t>
            </w: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49"/>
        </w:trPr>
        <w:tc>
          <w:tcPr>
            <w:tcW w:w="160" w:type="dxa"/>
            <w:vAlign w:val="bottom"/>
            <w:tcBorders>
              <w:bottom w:val="single" w:sz="8" w:color="CCEEFF"/>
            </w:tcBorders>
          </w:tcPr>
          <w:p>
            <w:pPr>
              <w:spacing w:after="0"/>
              <w:rPr>
                <w:sz w:val="21"/>
                <w:szCs w:val="21"/>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GSHD</w:t>
            </w:r>
            <w:r>
              <w:rPr>
                <w:rFonts w:ascii="Arial" w:cs="Arial" w:eastAsia="Arial" w:hAnsi="Arial"/>
                <w:sz w:val="21"/>
                <w:szCs w:val="21"/>
                <w:color w:val="auto"/>
                <w:vertAlign w:val="superscript"/>
              </w:rPr>
              <w:t>(1)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(8,991)</w:t>
            </w:r>
          </w:p>
        </w:tc>
      </w:tr>
      <w:tr>
        <w:trPr>
          <w:trHeight w:val="242"/>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62"/>
        </w:trPr>
        <w:tc>
          <w:tcPr>
            <w:tcW w:w="16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2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13,533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13,533</w:t>
            </w:r>
          </w:p>
        </w:tc>
      </w:tr>
      <w:tr>
        <w:trPr>
          <w:trHeight w:val="249"/>
        </w:trPr>
        <w:tc>
          <w:tcPr>
            <w:tcW w:w="16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69"/>
        </w:trPr>
        <w:tc>
          <w:tcPr>
            <w:tcW w:w="160" w:type="dxa"/>
            <w:vAlign w:val="bottom"/>
            <w:tcBorders>
              <w:bottom w:val="single" w:sz="8" w:color="CCEEFF"/>
            </w:tcBorders>
          </w:tcPr>
          <w:p>
            <w:pPr>
              <w:spacing w:after="0"/>
              <w:rPr>
                <w:sz w:val="23"/>
                <w:szCs w:val="23"/>
                <w:color w:val="auto"/>
              </w:rPr>
            </w:pPr>
          </w:p>
        </w:tc>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 options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tcBorders>
              <w:bottom w:val="single" w:sz="8" w:color="CCEEFF"/>
            </w:tcBorders>
            <w:shd w:val="clear" w:color="auto" w:fill="CCEEFF"/>
          </w:tcPr>
          <w:p>
            <w:pPr>
              <w:spacing w:after="0"/>
              <w:rPr>
                <w:sz w:val="19"/>
                <w:szCs w:val="19"/>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Weighted average shares of Class A common stock outstanding - diluted</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13,533</w:t>
            </w:r>
          </w:p>
        </w:tc>
      </w:tr>
      <w:tr>
        <w:trPr>
          <w:trHeight w:val="322"/>
        </w:trPr>
        <w:tc>
          <w:tcPr>
            <w:tcW w:w="1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9"/>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Earnings per share of Class A common stock - basic</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55"/>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Earnings per share of Class A common stock - 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2"/>
                <w:szCs w:val="22"/>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(0.66)</w:t>
            </w:r>
          </w:p>
        </w:tc>
      </w:tr>
    </w:tbl>
    <w:p>
      <w:pPr>
        <w:spacing w:after="0" w:line="18" w:lineRule="exact"/>
        <w:rPr>
          <w:sz w:val="20"/>
          <w:szCs w:val="20"/>
          <w:color w:val="auto"/>
        </w:rPr>
      </w:pPr>
    </w:p>
    <w:p>
      <w:pPr>
        <w:ind w:left="220" w:hanging="213"/>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income attributable to GSHD excludes all net income prior to the Offering.</w:t>
      </w:r>
    </w:p>
    <w:p>
      <w:pPr>
        <w:ind w:right="440" w:firstLine="7"/>
        <w:spacing w:after="0" w:line="255" w:lineRule="auto"/>
        <w:tabs>
          <w:tab w:leader="none" w:pos="215" w:val="left"/>
        </w:tabs>
        <w:numPr>
          <w:ilvl w:val="0"/>
          <w:numId w:val="6"/>
        </w:numPr>
        <w:rPr>
          <w:rFonts w:ascii="Arial" w:cs="Arial" w:eastAsia="Arial" w:hAnsi="Arial"/>
          <w:sz w:val="14"/>
          <w:szCs w:val="14"/>
          <w:color w:val="auto"/>
        </w:rPr>
      </w:pPr>
      <w:r>
        <w:rPr>
          <w:rFonts w:ascii="Arial" w:cs="Arial" w:eastAsia="Arial" w:hAnsi="Arial"/>
          <w:sz w:val="14"/>
          <w:szCs w:val="14"/>
          <w:color w:val="auto"/>
        </w:rPr>
        <w:t>1,650 thousand stock options were excluded from the computation of diluted earnings per share of Class A common stock for the nine months ended September 30, 2018 because the effect would have been anti-dilutive, as GSHD recorded a net loss for the period.</w:t>
      </w:r>
    </w:p>
    <w:p>
      <w:pPr>
        <w:spacing w:after="0" w:line="13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following table sets forth the calculation of pro forma basic EPS based on pro forma net income attributable to GSHD for the three and nine months ended September 30, 2017, divided by the pro forma basic weighted average number of Class A common stock as of September 30, 2017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 Pro forma diluted earnings per share of Class A common stock is computed by dividing pro forma net income attributable to GSHD by the pro forma weighted average number of shares of Class A common stock outstanding adjusted to give effect to pro forma potentially dilutive securities.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Three Months Ended</w:t>
            </w:r>
          </w:p>
        </w:tc>
        <w:tc>
          <w:tcPr>
            <w:tcW w:w="220" w:type="dxa"/>
            <w:vAlign w:val="bottom"/>
          </w:tcPr>
          <w:p>
            <w:pPr>
              <w:spacing w:after="0"/>
              <w:rPr>
                <w:sz w:val="18"/>
                <w:szCs w:val="18"/>
                <w:color w:val="auto"/>
              </w:rPr>
            </w:pPr>
          </w:p>
        </w:tc>
        <w:tc>
          <w:tcPr>
            <w:tcW w:w="2080" w:type="dxa"/>
            <w:vAlign w:val="bottom"/>
          </w:tcPr>
          <w:p>
            <w:pPr>
              <w:jc w:val="right"/>
              <w:ind w:right="231"/>
              <w:spacing w:after="0"/>
              <w:rPr>
                <w:sz w:val="20"/>
                <w:szCs w:val="20"/>
                <w:color w:val="auto"/>
              </w:rPr>
            </w:pPr>
            <w:r>
              <w:rPr>
                <w:rFonts w:ascii="Arial" w:cs="Arial" w:eastAsia="Arial" w:hAnsi="Arial"/>
                <w:sz w:val="18"/>
                <w:szCs w:val="18"/>
                <w:b w:val="1"/>
                <w:bCs w:val="1"/>
                <w:color w:val="auto"/>
              </w:rPr>
              <w:t>Nine Months Ended</w:t>
            </w:r>
          </w:p>
        </w:tc>
      </w:tr>
      <w:tr>
        <w:trPr>
          <w:trHeight w:val="245"/>
        </w:trPr>
        <w:tc>
          <w:tcPr>
            <w:tcW w:w="160" w:type="dxa"/>
            <w:vAlign w:val="bottom"/>
            <w:tcBorders>
              <w:bottom w:val="single" w:sz="8" w:color="CCEEFF"/>
            </w:tcBorders>
          </w:tcPr>
          <w:p>
            <w:pPr>
              <w:spacing w:after="0"/>
              <w:rPr>
                <w:sz w:val="21"/>
                <w:szCs w:val="21"/>
                <w:color w:val="auto"/>
              </w:rPr>
            </w:pPr>
          </w:p>
        </w:tc>
        <w:tc>
          <w:tcPr>
            <w:tcW w:w="64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9"/>
              </w:rPr>
              <w:t>September 30, 2017</w:t>
            </w:r>
          </w:p>
        </w:tc>
        <w:tc>
          <w:tcPr>
            <w:tcW w:w="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September 30, 2017</w:t>
            </w:r>
          </w:p>
        </w:tc>
      </w:tr>
      <w:tr>
        <w:trPr>
          <w:trHeight w:val="249"/>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62"/>
        </w:trPr>
        <w:tc>
          <w:tcPr>
            <w:tcW w:w="160" w:type="dxa"/>
            <w:vAlign w:val="bottom"/>
          </w:tcPr>
          <w:p>
            <w:pPr>
              <w:spacing w:after="0"/>
              <w:rPr>
                <w:sz w:val="22"/>
                <w:szCs w:val="22"/>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8,300</w:t>
            </w:r>
          </w:p>
        </w:tc>
      </w:tr>
      <w:tr>
        <w:trPr>
          <w:trHeight w:val="269"/>
        </w:trPr>
        <w:tc>
          <w:tcPr>
            <w:tcW w:w="160" w:type="dxa"/>
            <w:vAlign w:val="bottom"/>
            <w:shd w:val="clear" w:color="auto" w:fill="CCEEFF"/>
          </w:tcPr>
          <w:p>
            <w:pPr>
              <w:spacing w:after="0"/>
              <w:rPr>
                <w:sz w:val="23"/>
                <w:szCs w:val="23"/>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Less: pro forma net income attributable to 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5,204</w:t>
            </w:r>
          </w:p>
        </w:tc>
      </w:tr>
      <w:tr>
        <w:trPr>
          <w:trHeight w:val="249"/>
        </w:trPr>
        <w:tc>
          <w:tcPr>
            <w:tcW w:w="160" w:type="dxa"/>
            <w:vAlign w:val="bottom"/>
          </w:tcPr>
          <w:p>
            <w:pPr>
              <w:spacing w:after="0"/>
              <w:rPr>
                <w:sz w:val="21"/>
                <w:szCs w:val="21"/>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 forma income before taxes attributable to GSHD</w:t>
            </w:r>
          </w:p>
        </w:tc>
        <w:tc>
          <w:tcPr>
            <w:tcW w:w="220" w:type="dxa"/>
            <w:vAlign w:val="bottom"/>
          </w:tcPr>
          <w:p>
            <w:pPr>
              <w:spacing w:after="0"/>
              <w:rPr>
                <w:sz w:val="21"/>
                <w:szCs w:val="21"/>
                <w:color w:val="auto"/>
              </w:rPr>
            </w:pPr>
          </w:p>
        </w:tc>
        <w:tc>
          <w:tcPr>
            <w:tcW w:w="218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3,096</w:t>
            </w:r>
          </w:p>
        </w:tc>
      </w:tr>
      <w:tr>
        <w:trPr>
          <w:trHeight w:val="275"/>
        </w:trPr>
        <w:tc>
          <w:tcPr>
            <w:tcW w:w="160" w:type="dxa"/>
            <w:vAlign w:val="bottom"/>
            <w:tcBorders>
              <w:bottom w:val="single" w:sz="8" w:color="CCEEFF"/>
            </w:tcBorders>
            <w:shd w:val="clear" w:color="auto" w:fill="CCEEFF"/>
          </w:tcPr>
          <w:p>
            <w:pPr>
              <w:spacing w:after="0"/>
              <w:rPr>
                <w:sz w:val="23"/>
                <w:szCs w:val="23"/>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Less: pro forma 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w:t>
            </w:r>
          </w:p>
        </w:tc>
      </w:tr>
      <w:tr>
        <w:trPr>
          <w:trHeight w:val="242"/>
        </w:trPr>
        <w:tc>
          <w:tcPr>
            <w:tcW w:w="160" w:type="dxa"/>
            <w:vAlign w:val="bottom"/>
            <w:tcBorders>
              <w:bottom w:val="single" w:sz="8" w:color="CCEEFF"/>
            </w:tcBorders>
          </w:tcPr>
          <w:p>
            <w:pPr>
              <w:spacing w:after="0"/>
              <w:rPr>
                <w:sz w:val="21"/>
                <w:szCs w:val="21"/>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net income attributable to GSHD</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2,322</w:t>
            </w:r>
          </w:p>
        </w:tc>
      </w:tr>
      <w:tr>
        <w:trPr>
          <w:trHeight w:val="249"/>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27"/>
        </w:trPr>
        <w:tc>
          <w:tcPr>
            <w:tcW w:w="16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 forma weighted average shares of Class A common stock outstanding -</w:t>
            </w: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3"/>
        </w:trPr>
        <w:tc>
          <w:tcPr>
            <w:tcW w:w="16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13,533</w:t>
            </w:r>
          </w:p>
        </w:tc>
      </w:tr>
      <w:tr>
        <w:trPr>
          <w:trHeight w:val="249"/>
        </w:trPr>
        <w:tc>
          <w:tcPr>
            <w:tcW w:w="1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Pro forma 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62"/>
        </w:trPr>
        <w:tc>
          <w:tcPr>
            <w:tcW w:w="16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 forma stock options</w:t>
            </w:r>
          </w:p>
        </w:tc>
        <w:tc>
          <w:tcPr>
            <w:tcW w:w="2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989</w:t>
            </w:r>
          </w:p>
        </w:tc>
      </w:tr>
      <w:tr>
        <w:trPr>
          <w:trHeight w:val="214"/>
        </w:trPr>
        <w:tc>
          <w:tcPr>
            <w:tcW w:w="16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Pro forma weighted average shares of Class A common stock outstanding -</w:t>
            </w: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09"/>
        </w:trPr>
        <w:tc>
          <w:tcPr>
            <w:tcW w:w="16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diluted</w:t>
            </w:r>
          </w:p>
        </w:tc>
        <w:tc>
          <w:tcPr>
            <w:tcW w:w="2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14,614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14,522</w:t>
            </w:r>
          </w:p>
        </w:tc>
      </w:tr>
      <w:tr>
        <w:trPr>
          <w:trHeight w:val="322"/>
        </w:trPr>
        <w:tc>
          <w:tcPr>
            <w:tcW w:w="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49"/>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 forma earnings per share of Class A common stock - basic</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r>
      <w:tr>
        <w:trPr>
          <w:trHeight w:val="255"/>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Pro forma earnings per share of Class A common stock - diluted</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0.16</w:t>
            </w:r>
          </w:p>
        </w:tc>
      </w:tr>
      <w:tr>
        <w:trPr>
          <w:trHeight w:val="792"/>
        </w:trPr>
        <w:tc>
          <w:tcPr>
            <w:tcW w:w="6620" w:type="dxa"/>
            <w:vAlign w:val="bottom"/>
            <w:gridSpan w:val="2"/>
          </w:tcPr>
          <w:p>
            <w:pPr>
              <w:ind w:left="56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6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Equity-Based Compensation</w:t>
      </w: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 summary of equity-based compensation expense during the three and nine months ended September 30, 2018 and September 30, 2017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31"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September</w:t>
            </w:r>
          </w:p>
        </w:tc>
        <w:tc>
          <w:tcPr>
            <w:tcW w:w="27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w:t>
            </w:r>
          </w:p>
        </w:tc>
      </w:tr>
      <w:tr>
        <w:trPr>
          <w:trHeight w:val="245"/>
        </w:trPr>
        <w:tc>
          <w:tcPr>
            <w:tcW w:w="49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9"/>
              </w:rPr>
              <w:t>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9"/>
              </w:rPr>
              <w:t>30</w:t>
            </w:r>
          </w:p>
        </w:tc>
        <w:tc>
          <w:tcPr>
            <w:tcW w:w="1080" w:type="dxa"/>
            <w:vAlign w:val="bottom"/>
            <w:tcBorders>
              <w:bottom w:val="single" w:sz="8" w:color="auto"/>
            </w:tcBorders>
          </w:tcPr>
          <w:p>
            <w:pPr>
              <w:spacing w:after="0"/>
              <w:rPr>
                <w:sz w:val="21"/>
                <w:szCs w:val="21"/>
                <w:color w:val="auto"/>
              </w:rPr>
            </w:pPr>
          </w:p>
        </w:tc>
      </w:tr>
      <w:tr>
        <w:trPr>
          <w:trHeight w:val="249"/>
        </w:trPr>
        <w:tc>
          <w:tcPr>
            <w:tcW w:w="49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2017</w:t>
            </w:r>
          </w:p>
        </w:tc>
      </w:tr>
      <w:tr>
        <w:trPr>
          <w:trHeight w:val="25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unit compensation</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4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1,335</w:t>
            </w:r>
          </w:p>
        </w:tc>
      </w:tr>
      <w:tr>
        <w:trPr>
          <w:trHeight w:val="262"/>
        </w:trPr>
        <w:tc>
          <w:tcPr>
            <w:tcW w:w="49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345</w:t>
            </w:r>
          </w:p>
        </w:tc>
        <w:tc>
          <w:tcPr>
            <w:tcW w:w="4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w:t>
            </w: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5"/>
        </w:trPr>
        <w:tc>
          <w:tcPr>
            <w:tcW w:w="4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Equity-based compensation expense</w:t>
            </w:r>
          </w:p>
        </w:tc>
        <w:tc>
          <w:tcPr>
            <w:tcW w:w="9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26,738</w:t>
            </w:r>
          </w:p>
        </w:tc>
        <w:tc>
          <w:tcPr>
            <w:tcW w:w="4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1,335</w:t>
            </w:r>
          </w:p>
        </w:tc>
      </w:tr>
      <w:tr>
        <w:trPr>
          <w:trHeight w:val="20"/>
        </w:trPr>
        <w:tc>
          <w:tcPr>
            <w:tcW w:w="4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unit compensation:</w:t>
      </w:r>
    </w:p>
    <w:p>
      <w:pPr>
        <w:spacing w:after="0" w:line="13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Prior to the Offering, certain Pre-IPO LLC Members held non-vesting and non-voting Class B units. In accordance with accounting guidance, any dividends paid to Class B unit holders are recognized as compensation expense when declared, as the Class B non-vesting units are considered to be a non-substantive class of equity. Dividends paid to Class B unit holders prior to the Offering, included in employee compensation and benefits, totaled $0 and $ 122 thousand for the three and nine months ended September 30, 2018, respectively, and $1,150 thousand and $1,335 thousand for the three and nine months ended September 30, 2017, respectively.</w:t>
      </w:r>
    </w:p>
    <w:p>
      <w:pPr>
        <w:spacing w:after="0" w:line="9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Reorganization Transactions, immediately prior to the Offering, historical Class B interests in TWIHG and GM vested by converting to the Texas Wasatch Note and Goosehead Management Note, respectively, paid with a combination of proceeds from the Offering and shares of Class A common stock. This conversion changed the nature of the Class B interests from a profit sharing arrangement to a substantive class of equity and were expensed under the guidance of ASC 718. At the Offering price of $10.00 per share, GSHD incurred total compensation expense of $6.2 million in connection with the conversion, recognized in the second quarter of 2018. Class B interests in GF were also deemed vested by converting, along with all pre-offering Class A equity, on a one-to-one basis with the number of LLC units previously owned, to both LLC Units and shares of Class B common stock. This conversion changed the nature of the Class B interests from a profit sharing arrangement to a substantive class of equity and were expensed under the guidance of ASC 718. At the initial public offering price of $10.00 per share, the Company issued a total of 1,978 thousand LLC Units and shares of Class B common stock and incurred total compensation expense of $19.8 million as part of the conversion, recognized in the second quarter of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the IPO, GSHD granted 1,650 thousand options to directors and certain employees. The stock options were granted with a strike price of $10.00 per share (the initial public offering price). The 365 thousand director stock options vest quarterly over a three year period, and the 1,285 thousand employee stock options vest annually from 2020 to 2022. The grant date fair value was determined using the Black-Scholes valuation model using the following assumptions:</w:t>
      </w:r>
    </w:p>
    <w:p>
      <w:pPr>
        <w:spacing w:after="0" w:line="259" w:lineRule="exact"/>
        <w:rPr>
          <w:sz w:val="20"/>
          <w:szCs w:val="20"/>
          <w:color w:val="auto"/>
        </w:rPr>
      </w:pPr>
    </w:p>
    <w:tbl>
      <w:tblPr>
        <w:tblLayout w:type="fixed"/>
        <w:tblInd w:w="3320" w:type="dxa"/>
        <w:tblCellMar>
          <w:top w:w="0" w:type="dxa"/>
          <w:left w:w="0" w:type="dxa"/>
          <w:bottom w:w="0" w:type="dxa"/>
          <w:right w:w="0" w:type="dxa"/>
        </w:tblCellMar>
      </w:tblPr>
      <w:tr>
        <w:trPr>
          <w:trHeight w:val="223"/>
        </w:trPr>
        <w:tc>
          <w:tcPr>
            <w:tcW w:w="31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2"/>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1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5.95</w:t>
            </w:r>
          </w:p>
        </w:tc>
      </w:tr>
      <w:tr>
        <w:trPr>
          <w:trHeight w:val="262"/>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bl>
    <w:p>
      <w:pPr>
        <w:spacing w:after="0" w:line="10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GSHD will recognize the total compensation expense of $5.2 million related to such option grants on a straight-line basis over the requisite service period of the award recipient (three years for directors and four years for certain employees).</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April 2018, GSHD adopted the Omnibus Incentive Plan, which reserved 1,500 thousand shares of Class A Common Stock for delivery to directors, officers, and managing directors in connection with future awards granted under the plan. GSHD also adopted an Employee Stock Purchase Plan, which reserved 20 thousand shares of Class A Common Stock for delivery to employees. There were no shares outstanding on either of these plans at September 30, 2018.</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19" w:name="page20"/>
    <w:bookmarkEnd w:id="19"/>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8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Segment Information</w:t>
      </w:r>
    </w:p>
    <w:p>
      <w:pPr>
        <w:spacing w:after="0" w:line="13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 xml:space="preserve">The Company has two reportable segments: Corporate Channel and Franchise Channel. The Corporate Channel consists of company-owned and financed operations with employees who are hired, trained, and managed by Goosehead. The Franchise Channel network consists of franchisee operations that are owned and managed by individual business owners. These business owners have a contractual relationship with Goosehead to use the Company's processes, systems, and back-office support team to sell insurance and manage their business. In exchange, Goosehead is entitled to an initial franchise fee and ongoing royalty fees. Allocations of contingent commissions and certain operating expenses are based on reasonable assumptions and estimates primarily using revenue, headcount and other information. The Company’s chief operating decision maker uses net income before interest, income taxes, depreciation and amortization, adjusted to exclude equity-based compensation and other non-operating items, including, among other things, certain non-cash charges and certain non-recurring or non-operating gains or losses (“Adjusted EBITDA”) as a performance measure to manage resources and make decisions about the business. Summarized financial information concerning the Company’s reportable segments is shown in the following tables </w:t>
      </w:r>
      <w:r>
        <w:rPr>
          <w:rFonts w:ascii="Arial" w:cs="Arial" w:eastAsia="Arial" w:hAnsi="Arial"/>
          <w:sz w:val="18"/>
          <w:szCs w:val="18"/>
          <w:i w:val="1"/>
          <w:iCs w:val="1"/>
          <w:color w:val="auto"/>
        </w:rPr>
        <w:t>(in thousands)</w:t>
      </w:r>
      <w:r>
        <w:rPr>
          <w:rFonts w:ascii="Arial" w:cs="Arial" w:eastAsia="Arial" w:hAnsi="Arial"/>
          <w:sz w:val="18"/>
          <w:szCs w:val="18"/>
          <w:color w:val="auto"/>
        </w:rPr>
        <w:t>. There are no intersegment sales, only interest income and interest expense related to an intersegment line of credit, all of which eliminate in consolidation. The “Other” column includes any income and expenses not allocated to reportable segments and corporate-related items, including equity-based compensation, certain legal expenses and interest related to the note payable.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Corporate</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Franchise</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Channel</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Channel</w:t>
            </w:r>
          </w:p>
        </w:tc>
        <w:tc>
          <w:tcPr>
            <w:tcW w:w="26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1"/>
                <w:szCs w:val="21"/>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9"/>
        </w:trPr>
        <w:tc>
          <w:tcPr>
            <w:tcW w:w="5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2018:</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40"/>
              <w:spacing w:after="0"/>
              <w:rPr>
                <w:sz w:val="20"/>
                <w:szCs w:val="20"/>
                <w:color w:val="auto"/>
              </w:rPr>
            </w:pPr>
            <w:r>
              <w:rPr>
                <w:rFonts w:ascii="Arial" w:cs="Arial" w:eastAsia="Arial" w:hAnsi="Arial"/>
                <w:sz w:val="18"/>
                <w:szCs w:val="18"/>
                <w:color w:val="auto"/>
              </w:rPr>
              <w:t>Revenues: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 and fees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62"/>
        </w:trPr>
        <w:tc>
          <w:tcPr>
            <w:tcW w:w="5340" w:type="dxa"/>
            <w:vAlign w:val="bottom"/>
          </w:tcPr>
          <w:p>
            <w:pPr>
              <w:ind w:left="160"/>
              <w:spacing w:after="0"/>
              <w:rPr>
                <w:sz w:val="20"/>
                <w:szCs w:val="20"/>
                <w:color w:val="auto"/>
              </w:rPr>
            </w:pPr>
            <w:r>
              <w:rPr>
                <w:rFonts w:ascii="Arial" w:cs="Arial" w:eastAsia="Arial" w:hAnsi="Arial"/>
                <w:sz w:val="18"/>
                <w:szCs w:val="18"/>
                <w:color w:val="auto"/>
              </w:rPr>
              <w:t>Franchise revenues</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75"/>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2"/>
        </w:trPr>
        <w:tc>
          <w:tcPr>
            <w:tcW w:w="5340" w:type="dxa"/>
            <w:vAlign w:val="bottom"/>
          </w:tcPr>
          <w:p>
            <w:pPr>
              <w:ind w:left="3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340" w:type="dxa"/>
            <w:vAlign w:val="bottom"/>
          </w:tcPr>
          <w:p>
            <w:pPr>
              <w:ind w:left="160"/>
              <w:spacing w:after="0"/>
              <w:rPr>
                <w:sz w:val="20"/>
                <w:szCs w:val="20"/>
                <w:color w:val="auto"/>
              </w:rPr>
            </w:pPr>
            <w:r>
              <w:rPr>
                <w:rFonts w:ascii="Arial" w:cs="Arial" w:eastAsia="Arial" w:hAnsi="Arial"/>
                <w:sz w:val="18"/>
                <w:szCs w:val="18"/>
                <w:color w:val="auto"/>
              </w:rPr>
              <w:t>Employee compensation and benefits, excluding equity-based</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75"/>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62"/>
        </w:trPr>
        <w:tc>
          <w:tcPr>
            <w:tcW w:w="5340" w:type="dxa"/>
            <w:vAlign w:val="bottom"/>
          </w:tcPr>
          <w:p>
            <w:pPr>
              <w:ind w:left="160"/>
              <w:spacing w:after="0"/>
              <w:rPr>
                <w:sz w:val="20"/>
                <w:szCs w:val="20"/>
                <w:color w:val="auto"/>
              </w:rPr>
            </w:pPr>
            <w:r>
              <w:rPr>
                <w:rFonts w:ascii="Arial" w:cs="Arial" w:eastAsia="Arial" w:hAnsi="Arial"/>
                <w:sz w:val="18"/>
                <w:szCs w:val="18"/>
                <w:color w:val="auto"/>
              </w:rPr>
              <w:t>Bad debts</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55"/>
        </w:trPr>
        <w:tc>
          <w:tcPr>
            <w:tcW w:w="53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7,388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4,843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42"/>
        </w:trPr>
        <w:tc>
          <w:tcPr>
            <w:tcW w:w="534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75"/>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2"/>
        </w:trPr>
        <w:tc>
          <w:tcPr>
            <w:tcW w:w="5340" w:type="dxa"/>
            <w:vAlign w:val="bottom"/>
          </w:tcPr>
          <w:p>
            <w:pPr>
              <w:ind w:left="40"/>
              <w:spacing w:after="0"/>
              <w:rPr>
                <w:sz w:val="20"/>
                <w:szCs w:val="20"/>
                <w:color w:val="auto"/>
              </w:rPr>
            </w:pPr>
            <w:r>
              <w:rPr>
                <w:rFonts w:ascii="Arial" w:cs="Arial" w:eastAsia="Arial" w:hAnsi="Arial"/>
                <w:sz w:val="18"/>
                <w:szCs w:val="18"/>
                <w:color w:val="auto"/>
              </w:rPr>
              <w:t>Equity-based compensation</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5"/>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62"/>
        </w:trPr>
        <w:tc>
          <w:tcPr>
            <w:tcW w:w="5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380"/>
              <w:spacing w:after="0"/>
              <w:rPr>
                <w:sz w:val="20"/>
                <w:szCs w:val="20"/>
                <w:color w:val="auto"/>
              </w:rPr>
            </w:pPr>
            <w:r>
              <w:rPr>
                <w:rFonts w:ascii="Arial" w:cs="Arial" w:eastAsia="Arial" w:hAnsi="Arial"/>
                <w:sz w:val="18"/>
                <w:szCs w:val="18"/>
                <w:color w:val="auto"/>
              </w:rPr>
              <w:t>Net income (loss)</w:t>
            </w: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340" w:type="dxa"/>
            <w:vAlign w:val="bottom"/>
            <w:vMerge w:val="continue"/>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3"/>
                <w:szCs w:val="23"/>
                <w:color w:val="auto"/>
              </w:rPr>
            </w:pP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3"/>
                <w:szCs w:val="23"/>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5"/>
        </w:trPr>
        <w:tc>
          <w:tcPr>
            <w:tcW w:w="5340" w:type="dxa"/>
            <w:vAlign w:val="bottom"/>
            <w:tcBorders>
              <w:top w:val="single" w:sz="8" w:color="CCEEFF"/>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At September 30, 2018:</w:t>
            </w: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14,222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2"/>
                <w:szCs w:val="22"/>
                <w:color w:val="auto"/>
              </w:rPr>
            </w:pP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7,904</w:t>
            </w:r>
          </w:p>
        </w:tc>
        <w:tc>
          <w:tcPr>
            <w:tcW w:w="100" w:type="dxa"/>
            <w:vAlign w:val="bottom"/>
          </w:tcPr>
          <w:p>
            <w:pPr>
              <w:spacing w:after="0"/>
              <w:rPr>
                <w:sz w:val="22"/>
                <w:szCs w:val="22"/>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31,199</w:t>
            </w:r>
          </w:p>
        </w:tc>
        <w:tc>
          <w:tcPr>
            <w:tcW w:w="0" w:type="dxa"/>
            <w:vAlign w:val="bottom"/>
          </w:tcPr>
          <w:p>
            <w:pPr>
              <w:spacing w:after="0"/>
              <w:rPr>
                <w:sz w:val="1"/>
                <w:szCs w:val="1"/>
                <w:color w:val="auto"/>
              </w:rPr>
            </w:pPr>
          </w:p>
        </w:tc>
      </w:tr>
      <w:tr>
        <w:trPr>
          <w:trHeight w:val="591"/>
        </w:trPr>
        <w:tc>
          <w:tcPr>
            <w:tcW w:w="5340" w:type="dxa"/>
            <w:vAlign w:val="bottom"/>
          </w:tcPr>
          <w:p>
            <w:pPr>
              <w:spacing w:after="0"/>
              <w:rPr>
                <w:sz w:val="24"/>
                <w:szCs w:val="24"/>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8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Franchise</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5"/>
        </w:trPr>
        <w:tc>
          <w:tcPr>
            <w:tcW w:w="5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Channel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Channel</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Other</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Total</w:t>
            </w:r>
          </w:p>
        </w:tc>
      </w:tr>
      <w:tr>
        <w:trPr>
          <w:trHeight w:val="249"/>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2017:</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2"/>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9"/>
        </w:trPr>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Commissions and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6,692</w:t>
            </w:r>
          </w:p>
        </w:tc>
      </w:tr>
      <w:tr>
        <w:trPr>
          <w:trHeight w:val="262"/>
        </w:trPr>
        <w:tc>
          <w:tcPr>
            <w:tcW w:w="6040" w:type="dxa"/>
            <w:vAlign w:val="bottom"/>
            <w:gridSpan w:val="2"/>
          </w:tcPr>
          <w:p>
            <w:pPr>
              <w:ind w:left="160"/>
              <w:spacing w:after="0"/>
              <w:rPr>
                <w:sz w:val="20"/>
                <w:szCs w:val="20"/>
                <w:color w:val="auto"/>
              </w:rPr>
            </w:pPr>
            <w:r>
              <w:rPr>
                <w:rFonts w:ascii="Arial" w:cs="Arial" w:eastAsia="Arial" w:hAnsi="Arial"/>
                <w:sz w:val="18"/>
                <w:szCs w:val="18"/>
                <w:color w:val="auto"/>
              </w:rPr>
              <w:t>Franchise revenues</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4,048</w:t>
            </w:r>
          </w:p>
        </w:tc>
      </w:tr>
      <w:tr>
        <w:trPr>
          <w:trHeight w:val="275"/>
        </w:trPr>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2"/>
        </w:trPr>
        <w:tc>
          <w:tcPr>
            <w:tcW w:w="60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10,807</w:t>
            </w:r>
          </w:p>
        </w:tc>
      </w:tr>
      <w:tr>
        <w:trPr>
          <w:trHeight w:val="255"/>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27"/>
        </w:trPr>
        <w:tc>
          <w:tcPr>
            <w:tcW w:w="6040" w:type="dxa"/>
            <w:vAlign w:val="bottom"/>
            <w:gridSpan w:val="2"/>
          </w:tcPr>
          <w:p>
            <w:pPr>
              <w:ind w:left="160"/>
              <w:spacing w:after="0"/>
              <w:rPr>
                <w:sz w:val="20"/>
                <w:szCs w:val="20"/>
                <w:color w:val="auto"/>
              </w:rPr>
            </w:pPr>
            <w:r>
              <w:rPr>
                <w:rFonts w:ascii="Arial" w:cs="Arial" w:eastAsia="Arial" w:hAnsi="Arial"/>
                <w:sz w:val="18"/>
                <w:szCs w:val="18"/>
                <w:color w:val="auto"/>
              </w:rPr>
              <w:t>Employee compensation and benefits, excluding equity-based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6040" w:type="dxa"/>
            <w:vAlign w:val="bottom"/>
            <w:gridSpan w:val="2"/>
          </w:tcPr>
          <w:p>
            <w:pPr>
              <w:ind w:left="16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6,036</w:t>
            </w:r>
          </w:p>
        </w:tc>
      </w:tr>
      <w:tr>
        <w:trPr>
          <w:trHeight w:val="275"/>
        </w:trPr>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r>
      <w:tr>
        <w:trPr>
          <w:trHeight w:val="262"/>
        </w:trPr>
        <w:tc>
          <w:tcPr>
            <w:tcW w:w="6040" w:type="dxa"/>
            <w:vAlign w:val="bottom"/>
            <w:gridSpan w:val="2"/>
          </w:tcPr>
          <w:p>
            <w:pPr>
              <w:ind w:left="160"/>
              <w:spacing w:after="0"/>
              <w:rPr>
                <w:sz w:val="20"/>
                <w:szCs w:val="20"/>
                <w:color w:val="auto"/>
              </w:rPr>
            </w:pPr>
            <w:r>
              <w:rPr>
                <w:rFonts w:ascii="Arial" w:cs="Arial" w:eastAsia="Arial" w:hAnsi="Arial"/>
                <w:sz w:val="18"/>
                <w:szCs w:val="18"/>
                <w:color w:val="auto"/>
              </w:rPr>
              <w:t>Bad debts</w:t>
            </w:r>
          </w:p>
        </w:tc>
        <w:tc>
          <w:tcPr>
            <w:tcW w:w="18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55"/>
        </w:trPr>
        <w:tc>
          <w:tcPr>
            <w:tcW w:w="604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5,201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3,123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8,453</w:t>
            </w:r>
          </w:p>
        </w:tc>
      </w:tr>
      <w:tr>
        <w:trPr>
          <w:trHeight w:val="242"/>
        </w:trPr>
        <w:tc>
          <w:tcPr>
            <w:tcW w:w="6040" w:type="dxa"/>
            <w:vAlign w:val="bottom"/>
            <w:gridSpan w:val="2"/>
          </w:tcPr>
          <w:p>
            <w:pPr>
              <w:ind w:left="38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2,354</w:t>
            </w:r>
          </w:p>
        </w:tc>
      </w:tr>
      <w:tr>
        <w:trPr>
          <w:trHeight w:val="275"/>
        </w:trPr>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62"/>
        </w:trPr>
        <w:tc>
          <w:tcPr>
            <w:tcW w:w="60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5"/>
        </w:trPr>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82"/>
        </w:trPr>
        <w:tc>
          <w:tcPr>
            <w:tcW w:w="60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209</w:t>
            </w:r>
          </w:p>
        </w:tc>
      </w:tr>
      <w:tr>
        <w:trPr>
          <w:trHeight w:val="235"/>
        </w:trPr>
        <w:tc>
          <w:tcPr>
            <w:tcW w:w="6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At September 30, 2017:</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55"/>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7,187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2"/>
                <w:szCs w:val="22"/>
                <w:color w:val="auto"/>
              </w:rPr>
            </w:pP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2"/>
                <w:szCs w:val="22"/>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14,338</w:t>
            </w: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Corporate</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Franchise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5"/>
        </w:trPr>
        <w:tc>
          <w:tcPr>
            <w:tcW w:w="6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Channel</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Channel</w:t>
            </w:r>
          </w:p>
        </w:tc>
        <w:tc>
          <w:tcPr>
            <w:tcW w:w="26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1"/>
                <w:szCs w:val="21"/>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b w:val="1"/>
                <w:bCs w:val="1"/>
                <w:color w:val="auto"/>
              </w:rPr>
              <w:t>Total</w:t>
            </w:r>
          </w:p>
        </w:tc>
      </w:tr>
      <w:tr>
        <w:trPr>
          <w:trHeight w:val="249"/>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2"/>
        </w:trPr>
        <w:tc>
          <w:tcPr>
            <w:tcW w:w="60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9"/>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 and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28,072</w:t>
            </w:r>
          </w:p>
        </w:tc>
      </w:tr>
      <w:tr>
        <w:trPr>
          <w:trHeight w:val="262"/>
        </w:trPr>
        <w:tc>
          <w:tcPr>
            <w:tcW w:w="6040" w:type="dxa"/>
            <w:vAlign w:val="bottom"/>
          </w:tcPr>
          <w:p>
            <w:pPr>
              <w:ind w:left="160"/>
              <w:spacing w:after="0"/>
              <w:rPr>
                <w:sz w:val="20"/>
                <w:szCs w:val="20"/>
                <w:color w:val="auto"/>
              </w:rPr>
            </w:pPr>
            <w:r>
              <w:rPr>
                <w:rFonts w:ascii="Arial" w:cs="Arial" w:eastAsia="Arial" w:hAnsi="Arial"/>
                <w:sz w:val="18"/>
                <w:szCs w:val="18"/>
                <w:color w:val="auto"/>
              </w:rPr>
              <w:t>Franchise revenues</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17,060</w:t>
            </w:r>
          </w:p>
        </w:tc>
      </w:tr>
      <w:tr>
        <w:trPr>
          <w:trHeight w:val="275"/>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r>
      <w:tr>
        <w:trPr>
          <w:trHeight w:val="242"/>
        </w:trPr>
        <w:tc>
          <w:tcPr>
            <w:tcW w:w="604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45,431</w:t>
            </w: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27"/>
        </w:trPr>
        <w:tc>
          <w:tcPr>
            <w:tcW w:w="6040" w:type="dxa"/>
            <w:vAlign w:val="bottom"/>
          </w:tcPr>
          <w:p>
            <w:pPr>
              <w:ind w:left="160"/>
              <w:spacing w:after="0"/>
              <w:rPr>
                <w:sz w:val="20"/>
                <w:szCs w:val="20"/>
                <w:color w:val="auto"/>
              </w:rPr>
            </w:pPr>
            <w:r>
              <w:rPr>
                <w:rFonts w:ascii="Arial" w:cs="Arial" w:eastAsia="Arial" w:hAnsi="Arial"/>
                <w:sz w:val="18"/>
                <w:szCs w:val="18"/>
                <w:color w:val="auto"/>
              </w:rPr>
              <w:t>Employee compensation and benefits, excluding equity-based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60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13,872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22,908</w:t>
            </w:r>
          </w:p>
        </w:tc>
      </w:tr>
      <w:tr>
        <w:trPr>
          <w:trHeight w:val="275"/>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9,093</w:t>
            </w:r>
          </w:p>
        </w:tc>
      </w:tr>
      <w:tr>
        <w:trPr>
          <w:trHeight w:val="262"/>
        </w:trPr>
        <w:tc>
          <w:tcPr>
            <w:tcW w:w="6040" w:type="dxa"/>
            <w:vAlign w:val="bottom"/>
          </w:tcPr>
          <w:p>
            <w:pPr>
              <w:ind w:left="160"/>
              <w:spacing w:after="0"/>
              <w:rPr>
                <w:sz w:val="20"/>
                <w:szCs w:val="20"/>
                <w:color w:val="auto"/>
              </w:rPr>
            </w:pPr>
            <w:r>
              <w:rPr>
                <w:rFonts w:ascii="Arial" w:cs="Arial" w:eastAsia="Arial" w:hAnsi="Arial"/>
                <w:sz w:val="18"/>
                <w:szCs w:val="18"/>
                <w:color w:val="auto"/>
              </w:rPr>
              <w:t>Bad debts</w:t>
            </w:r>
          </w:p>
        </w:tc>
        <w:tc>
          <w:tcPr>
            <w:tcW w:w="18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984</w:t>
            </w:r>
          </w:p>
        </w:tc>
      </w:tr>
      <w:tr>
        <w:trPr>
          <w:trHeight w:val="255"/>
        </w:trPr>
        <w:tc>
          <w:tcPr>
            <w:tcW w:w="60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19,792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12,488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32,985</w:t>
            </w:r>
          </w:p>
        </w:tc>
      </w:tr>
      <w:tr>
        <w:trPr>
          <w:trHeight w:val="242"/>
        </w:trPr>
        <w:tc>
          <w:tcPr>
            <w:tcW w:w="604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12,446</w:t>
            </w:r>
          </w:p>
        </w:tc>
      </w:tr>
      <w:tr>
        <w:trPr>
          <w:trHeight w:val="275"/>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2"/>
        </w:trPr>
        <w:tc>
          <w:tcPr>
            <w:tcW w:w="6040" w:type="dxa"/>
            <w:vAlign w:val="bottom"/>
          </w:tcPr>
          <w:p>
            <w:pPr>
              <w:ind w:left="40"/>
              <w:spacing w:after="0"/>
              <w:rPr>
                <w:sz w:val="20"/>
                <w:szCs w:val="20"/>
                <w:color w:val="auto"/>
              </w:rPr>
            </w:pPr>
            <w:r>
              <w:rPr>
                <w:rFonts w:ascii="Arial" w:cs="Arial" w:eastAsia="Arial" w:hAnsi="Arial"/>
                <w:sz w:val="18"/>
                <w:szCs w:val="18"/>
                <w:color w:val="auto"/>
              </w:rPr>
              <w:t>Equity-based compensation</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(26,738)</w:t>
            </w:r>
          </w:p>
        </w:tc>
      </w:tr>
      <w:tr>
        <w:trPr>
          <w:trHeight w:val="275"/>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r>
      <w:tr>
        <w:trPr>
          <w:trHeight w:val="262"/>
        </w:trPr>
        <w:tc>
          <w:tcPr>
            <w:tcW w:w="6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75"/>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82"/>
        </w:trPr>
        <w:tc>
          <w:tcPr>
            <w:tcW w:w="6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(19,269)</w:t>
            </w:r>
          </w:p>
        </w:tc>
      </w:tr>
      <w:tr>
        <w:trPr>
          <w:trHeight w:val="235"/>
        </w:trPr>
        <w:tc>
          <w:tcPr>
            <w:tcW w:w="6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At September 30, 2018:</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55"/>
        </w:trPr>
        <w:tc>
          <w:tcPr>
            <w:tcW w:w="60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14,222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2"/>
                <w:szCs w:val="22"/>
                <w:color w:val="auto"/>
              </w:rPr>
            </w:pP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7,904</w:t>
            </w:r>
          </w:p>
        </w:tc>
        <w:tc>
          <w:tcPr>
            <w:tcW w:w="100" w:type="dxa"/>
            <w:vAlign w:val="bottom"/>
          </w:tcPr>
          <w:p>
            <w:pPr>
              <w:spacing w:after="0"/>
              <w:rPr>
                <w:sz w:val="22"/>
                <w:szCs w:val="22"/>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31,199</w:t>
            </w: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0" w:right="239"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8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Corporate</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Franchise</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Channel</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Channel</w:t>
            </w:r>
          </w:p>
        </w:tc>
        <w:tc>
          <w:tcPr>
            <w:tcW w:w="26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1"/>
                <w:szCs w:val="21"/>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9"/>
        </w:trPr>
        <w:tc>
          <w:tcPr>
            <w:tcW w:w="5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2017:</w:t>
            </w: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40"/>
              <w:spacing w:after="0"/>
              <w:rPr>
                <w:sz w:val="20"/>
                <w:szCs w:val="20"/>
                <w:color w:val="auto"/>
              </w:rPr>
            </w:pPr>
            <w:r>
              <w:rPr>
                <w:rFonts w:ascii="Arial" w:cs="Arial" w:eastAsia="Arial" w:hAnsi="Arial"/>
                <w:sz w:val="18"/>
                <w:szCs w:val="18"/>
                <w:color w:val="auto"/>
              </w:rPr>
              <w:t>Revenues: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 and fees</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19,908</w:t>
            </w:r>
          </w:p>
        </w:tc>
        <w:tc>
          <w:tcPr>
            <w:tcW w:w="0" w:type="dxa"/>
            <w:vAlign w:val="bottom"/>
          </w:tcPr>
          <w:p>
            <w:pPr>
              <w:spacing w:after="0"/>
              <w:rPr>
                <w:sz w:val="1"/>
                <w:szCs w:val="1"/>
                <w:color w:val="auto"/>
              </w:rPr>
            </w:pPr>
          </w:p>
        </w:tc>
      </w:tr>
      <w:tr>
        <w:trPr>
          <w:trHeight w:val="262"/>
        </w:trPr>
        <w:tc>
          <w:tcPr>
            <w:tcW w:w="5340" w:type="dxa"/>
            <w:vAlign w:val="bottom"/>
          </w:tcPr>
          <w:p>
            <w:pPr>
              <w:ind w:left="160"/>
              <w:spacing w:after="0"/>
              <w:rPr>
                <w:sz w:val="20"/>
                <w:szCs w:val="20"/>
                <w:color w:val="auto"/>
              </w:rPr>
            </w:pPr>
            <w:r>
              <w:rPr>
                <w:rFonts w:ascii="Arial" w:cs="Arial" w:eastAsia="Arial" w:hAnsi="Arial"/>
                <w:sz w:val="18"/>
                <w:szCs w:val="18"/>
                <w:color w:val="auto"/>
              </w:rPr>
              <w:t>Franchise revenues</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11,499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75"/>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2"/>
        </w:trPr>
        <w:tc>
          <w:tcPr>
            <w:tcW w:w="5340" w:type="dxa"/>
            <w:vAlign w:val="bottom"/>
          </w:tcPr>
          <w:p>
            <w:pPr>
              <w:ind w:left="38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31,576</w:t>
            </w: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340" w:type="dxa"/>
            <w:vAlign w:val="bottom"/>
          </w:tcPr>
          <w:p>
            <w:pPr>
              <w:ind w:left="160"/>
              <w:spacing w:after="0"/>
              <w:rPr>
                <w:sz w:val="20"/>
                <w:szCs w:val="20"/>
                <w:color w:val="auto"/>
              </w:rPr>
            </w:pPr>
            <w:r>
              <w:rPr>
                <w:rFonts w:ascii="Arial" w:cs="Arial" w:eastAsia="Arial" w:hAnsi="Arial"/>
                <w:sz w:val="18"/>
                <w:szCs w:val="18"/>
                <w:color w:val="auto"/>
              </w:rPr>
              <w:t>Employee compensation and benefits, excluding equity-based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9,836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16,294</w:t>
            </w:r>
          </w:p>
        </w:tc>
        <w:tc>
          <w:tcPr>
            <w:tcW w:w="0" w:type="dxa"/>
            <w:vAlign w:val="bottom"/>
          </w:tcPr>
          <w:p>
            <w:pPr>
              <w:spacing w:after="0"/>
              <w:rPr>
                <w:sz w:val="1"/>
                <w:szCs w:val="1"/>
                <w:color w:val="auto"/>
              </w:rPr>
            </w:pPr>
          </w:p>
        </w:tc>
      </w:tr>
      <w:tr>
        <w:trPr>
          <w:trHeight w:val="275"/>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62"/>
        </w:trPr>
        <w:tc>
          <w:tcPr>
            <w:tcW w:w="5340" w:type="dxa"/>
            <w:vAlign w:val="bottom"/>
          </w:tcPr>
          <w:p>
            <w:pPr>
              <w:ind w:left="160"/>
              <w:spacing w:after="0"/>
              <w:rPr>
                <w:sz w:val="20"/>
                <w:szCs w:val="20"/>
                <w:color w:val="auto"/>
              </w:rPr>
            </w:pPr>
            <w:r>
              <w:rPr>
                <w:rFonts w:ascii="Arial" w:cs="Arial" w:eastAsia="Arial" w:hAnsi="Arial"/>
                <w:sz w:val="18"/>
                <w:szCs w:val="18"/>
                <w:color w:val="auto"/>
              </w:rPr>
              <w:t>Bad debts</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55"/>
        </w:trPr>
        <w:tc>
          <w:tcPr>
            <w:tcW w:w="53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13,903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9,074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23,131</w:t>
            </w:r>
          </w:p>
        </w:tc>
        <w:tc>
          <w:tcPr>
            <w:tcW w:w="0" w:type="dxa"/>
            <w:vAlign w:val="bottom"/>
          </w:tcPr>
          <w:p>
            <w:pPr>
              <w:spacing w:after="0"/>
              <w:rPr>
                <w:sz w:val="1"/>
                <w:szCs w:val="1"/>
                <w:color w:val="auto"/>
              </w:rPr>
            </w:pPr>
          </w:p>
        </w:tc>
      </w:tr>
      <w:tr>
        <w:trPr>
          <w:trHeight w:val="242"/>
        </w:trPr>
        <w:tc>
          <w:tcPr>
            <w:tcW w:w="534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75"/>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62"/>
        </w:trPr>
        <w:tc>
          <w:tcPr>
            <w:tcW w:w="5340" w:type="dxa"/>
            <w:vAlign w:val="bottom"/>
          </w:tcPr>
          <w:p>
            <w:pPr>
              <w:ind w:left="160"/>
              <w:spacing w:after="0"/>
              <w:rPr>
                <w:sz w:val="20"/>
                <w:szCs w:val="20"/>
                <w:color w:val="auto"/>
              </w:rPr>
            </w:pPr>
            <w:r>
              <w:rPr>
                <w:rFonts w:ascii="Arial" w:cs="Arial" w:eastAsia="Arial" w:hAnsi="Arial"/>
                <w:sz w:val="18"/>
                <w:szCs w:val="18"/>
                <w:color w:val="auto"/>
              </w:rPr>
              <w:t>Equity-based compensation</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5"/>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62"/>
        </w:trPr>
        <w:tc>
          <w:tcPr>
            <w:tcW w:w="5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9"/>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At September 30, 2017:</w:t>
            </w: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14,338</w:t>
            </w:r>
          </w:p>
        </w:tc>
        <w:tc>
          <w:tcPr>
            <w:tcW w:w="0" w:type="dxa"/>
            <w:vAlign w:val="bottom"/>
          </w:tcPr>
          <w:p>
            <w:pPr>
              <w:spacing w:after="0"/>
              <w:rPr>
                <w:sz w:val="1"/>
                <w:szCs w:val="1"/>
                <w:color w:val="auto"/>
              </w:rPr>
            </w:pPr>
          </w:p>
        </w:tc>
      </w:tr>
      <w:tr>
        <w:trPr>
          <w:trHeight w:val="672"/>
        </w:trPr>
        <w:tc>
          <w:tcPr>
            <w:tcW w:w="5340" w:type="dxa"/>
            <w:vAlign w:val="bottom"/>
          </w:tcPr>
          <w:p>
            <w:pPr>
              <w:spacing w:after="0"/>
              <w:rPr>
                <w:sz w:val="24"/>
                <w:szCs w:val="24"/>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62" w:lineRule="exact"/>
        <w:rPr>
          <w:sz w:val="20"/>
          <w:szCs w:val="20"/>
          <w:color w:val="auto"/>
        </w:rPr>
      </w:pPr>
    </w:p>
    <w:p>
      <w:pPr>
        <w:ind w:left="40" w:right="4260"/>
        <w:spacing w:after="0" w:line="284"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Litigation</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From time to time, GSHD may be involved in various legal proceedings, lawsuits and claims incidental to the conduct of the Company's business. The amount of any loss from the ultimate outcomes is not probable or reasonably estimable. It is the opinion of management that the resolution of outstanding claims will not have a material adverse effect on the financial position or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Subsequent Events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November 6, 2018, the date financial statements were available for issuance.</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the Final Prospectus.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 rapidly growing personal lines independent insurance agency, reinventing the traditional approach to distributing personal lines products and services throughout the United States. We were founded with one vision in mind—to provide consumers with superior insurance coverage at the best available price and in a timely manner. By leveraging our differentiated business model and innovative technology platform, we are able to deliver to consumers a superior insurance experience.</w:t>
      </w:r>
    </w:p>
    <w:p>
      <w:pPr>
        <w:spacing w:after="0" w:line="9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following discussion contains references to the three and nine months ended September 30, 2018 and September 30, 2017, which represents the consolidated and combined financial results of our predecessor Goosehead Financial, LLC and its subsidiaries Texas Wasatch Insurance Services, LP, Goosehead Insurance Agency, LLC and its affiliates Goosehead Management, LLC and Texas Wasatch Insurance Holdings Group,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 for the Third Quarter of 2018:</w:t>
      </w:r>
    </w:p>
    <w:p>
      <w:pPr>
        <w:spacing w:after="0" w:line="137" w:lineRule="exact"/>
        <w:rPr>
          <w:sz w:val="20"/>
          <w:szCs w:val="20"/>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increased 49% from the third quarter of 2017 to $16.1 million</w:t>
      </w:r>
    </w:p>
    <w:p>
      <w:pPr>
        <w:spacing w:after="0" w:line="115"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Commissions and Agency fee revenues increased 46% from the third quarter of 2017 to $9.8 million</w:t>
      </w:r>
    </w:p>
    <w:p>
      <w:pPr>
        <w:spacing w:after="0" w:line="115"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Franchise revenues increased 53% from the third quarter of 2017 to $6.2 million</w:t>
      </w:r>
    </w:p>
    <w:p>
      <w:pPr>
        <w:spacing w:after="0" w:line="115"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from operations increased 200% from the third quarter of 2017 to $2.7 million, or 17% of total revenues</w:t>
      </w:r>
    </w:p>
    <w:p>
      <w:pPr>
        <w:spacing w:after="0" w:line="115"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increased by 300% from the third quarter of 2017 to $0.8 million</w:t>
      </w:r>
    </w:p>
    <w:p>
      <w:pPr>
        <w:spacing w:after="0" w:line="115"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 non-GAAP measure, increased 42% from the third quarter of 2017 to $3.4 million, or 21% of total revenues</w:t>
      </w:r>
    </w:p>
    <w:p>
      <w:pPr>
        <w:spacing w:after="0" w:line="115" w:lineRule="exact"/>
        <w:rPr>
          <w:rFonts w:ascii="Arial" w:cs="Arial" w:eastAsia="Arial" w:hAnsi="Arial"/>
          <w:sz w:val="18"/>
          <w:szCs w:val="18"/>
          <w:color w:val="auto"/>
        </w:rPr>
      </w:pPr>
    </w:p>
    <w:p>
      <w:pPr>
        <w:ind w:left="660" w:right="620" w:hanging="330"/>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Channel Adjusted EBITDA increased 39% from the third quarter of 2017 to $2.0 million, or 21% of Corporate Channel revenues</w:t>
      </w:r>
    </w:p>
    <w:p>
      <w:pPr>
        <w:spacing w:after="0" w:line="90" w:lineRule="exact"/>
        <w:rPr>
          <w:rFonts w:ascii="Arial" w:cs="Arial" w:eastAsia="Arial" w:hAnsi="Arial"/>
          <w:sz w:val="18"/>
          <w:szCs w:val="18"/>
          <w:color w:val="auto"/>
        </w:rPr>
      </w:pPr>
    </w:p>
    <w:p>
      <w:pPr>
        <w:ind w:left="660" w:right="680" w:hanging="330"/>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Franchise Channel Adjusted EBITDA increased 75% from the third quarter of 2017 to $1.8 million, or 28% of Franchise channel revenues</w:t>
      </w:r>
    </w:p>
    <w:p>
      <w:pPr>
        <w:spacing w:after="0" w:line="90"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Basic earnings per share was $0.02 and Adjusted EPS* was $0.05 for the three months ended September 30, 2018</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23" w:name="page24"/>
    <w:bookmarkEnd w:id="23"/>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Policies in Force increased 50% from September 30, 2017 to 310 thousand at September 30, 2018</w:t>
      </w:r>
    </w:p>
    <w:p>
      <w:pPr>
        <w:spacing w:after="0" w:line="115"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sales headcount increased 55% from September 30, 2017 to 174 at September 30, 2018</w:t>
      </w:r>
    </w:p>
    <w:p>
      <w:pPr>
        <w:spacing w:after="0" w:line="115" w:lineRule="exact"/>
        <w:rPr>
          <w:rFonts w:ascii="Arial" w:cs="Arial" w:eastAsia="Arial" w:hAnsi="Arial"/>
          <w:sz w:val="18"/>
          <w:szCs w:val="18"/>
          <w:color w:val="auto"/>
        </w:rPr>
      </w:pPr>
    </w:p>
    <w:p>
      <w:pPr>
        <w:ind w:left="1300" w:hanging="326"/>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September 30, 2018, 102 of these Corporate sales agents had less than one year of tenure and 72 had greater than one year of tenure</w:t>
      </w:r>
    </w:p>
    <w:p>
      <w:pPr>
        <w:spacing w:after="0" w:line="90"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franchises increased 59% from September 30, 2017 to 424 at September 30, 2018</w:t>
      </w:r>
    </w:p>
    <w:p>
      <w:pPr>
        <w:spacing w:after="0" w:line="222" w:lineRule="exact"/>
        <w:rPr>
          <w:rFonts w:ascii="Arial" w:cs="Arial" w:eastAsia="Arial" w:hAnsi="Arial"/>
          <w:sz w:val="18"/>
          <w:szCs w:val="18"/>
          <w:color w:val="auto"/>
        </w:rPr>
      </w:pPr>
    </w:p>
    <w:p>
      <w:pPr>
        <w:ind w:left="1300" w:right="80" w:hanging="326"/>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Texas as of September 30, 2018, 36 operating franchisees had less than one year of tenure and 165 operating franchisees had greater than one year of tenure.</w:t>
      </w:r>
    </w:p>
    <w:p>
      <w:pPr>
        <w:spacing w:after="0" w:line="90" w:lineRule="exact"/>
        <w:rPr>
          <w:rFonts w:ascii="Arial" w:cs="Arial" w:eastAsia="Arial" w:hAnsi="Arial"/>
          <w:sz w:val="18"/>
          <w:szCs w:val="18"/>
          <w:color w:val="auto"/>
        </w:rPr>
      </w:pPr>
    </w:p>
    <w:p>
      <w:pPr>
        <w:ind w:left="1300" w:right="200" w:hanging="326"/>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Outside of Texas as of September 30, 2018, 157 operating franchisees had less than one year of tenure and 66 had greater than one year of tenure.</w:t>
      </w:r>
    </w:p>
    <w:p>
      <w:pPr>
        <w:spacing w:after="0" w:line="9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*Adjusted EBITDA and Adjusted EPS are non-GAAP measures. Reconciliation of Adjusted EBITDA to net income and Adjusted EPS to EPS, the most directly comparable financial measures presented in accordance with GAAP, are set forth in the "Key performance indicators" section of Management’s discussion and analysis of financial condition and results of operations of this Form 10-Q.</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703" w:right="379" w:bottom="1440" w:gutter="0" w:footer="0" w:header="0"/>
        </w:sectPr>
      </w:pPr>
    </w:p>
    <w:bookmarkStart w:id="24" w:name="page25"/>
    <w:bookmarkEnd w:id="24"/>
    <w:p>
      <w:pPr>
        <w:spacing w:after="0"/>
        <w:rPr>
          <w:sz w:val="20"/>
          <w:szCs w:val="20"/>
          <w:color w:val="auto"/>
        </w:rPr>
      </w:pPr>
      <w:r>
        <w:rPr>
          <w:rFonts w:ascii="Arial" w:cs="Arial" w:eastAsia="Arial" w:hAnsi="Arial"/>
          <w:sz w:val="21"/>
          <w:szCs w:val="21"/>
          <w:b w:val="1"/>
          <w:bCs w:val="1"/>
          <w:color w:val="auto"/>
        </w:rPr>
        <w:t>Consolidated results of operations</w:t>
      </w:r>
    </w:p>
    <w:p>
      <w:pPr>
        <w:spacing w:after="0" w:line="139"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The following is a discussion of our consolidated results of operations for each of the three and nine months ended September 30, 2018 and September 30, 2017. This information is derived from our accompanying consolidated financial statements prepared in accordance with GAAP.</w:t>
      </w:r>
    </w:p>
    <w:p>
      <w:pPr>
        <w:spacing w:after="0" w:line="265" w:lineRule="exact"/>
        <w:rPr>
          <w:sz w:val="20"/>
          <w:szCs w:val="20"/>
          <w:color w:val="auto"/>
        </w:rPr>
      </w:pPr>
    </w:p>
    <w:p>
      <w:pPr>
        <w:ind w:right="360"/>
        <w:spacing w:after="0" w:line="296" w:lineRule="auto"/>
        <w:rPr>
          <w:sz w:val="20"/>
          <w:szCs w:val="20"/>
          <w:color w:val="auto"/>
        </w:rPr>
      </w:pPr>
      <w:r>
        <w:rPr>
          <w:rFonts w:ascii="Arial" w:cs="Arial" w:eastAsia="Arial" w:hAnsi="Arial"/>
          <w:sz w:val="21"/>
          <w:szCs w:val="21"/>
          <w:b w:val="1"/>
          <w:bCs w:val="1"/>
          <w:color w:val="auto"/>
        </w:rPr>
        <w:t>Three and nine months ended September 30, 2018 compared to three and nine months ended September 30, 2017</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our results of operations for the three months ended September 30, 2018 and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8"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27940</wp:posOffset>
            </wp:positionV>
            <wp:extent cx="36239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line="55" w:lineRule="exact"/>
        <w:rPr>
          <w:sz w:val="20"/>
          <w:szCs w:val="20"/>
          <w:color w:val="auto"/>
        </w:rPr>
      </w:pPr>
    </w:p>
    <w:p>
      <w:pPr>
        <w:ind w:left="6920"/>
        <w:spacing w:after="0"/>
        <w:tabs>
          <w:tab w:leader="none" w:pos="98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247255" cy="179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17907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ectPr>
          <w:pgSz w:w="11900" w:h="16838" w:orient="portrait"/>
          <w:cols w:equalWidth="0" w:num="1">
            <w:col w:w="11420"/>
          </w:cols>
          <w:pgMar w:left="240" w:top="792" w:right="239" w:bottom="1440" w:gutter="0" w:footer="0" w:header="0"/>
        </w:sectPr>
      </w:pPr>
    </w:p>
    <w:p>
      <w:pPr>
        <w:spacing w:after="0" w:line="97" w:lineRule="exact"/>
        <w:rPr>
          <w:sz w:val="20"/>
          <w:szCs w:val="20"/>
          <w:color w:val="auto"/>
        </w:rPr>
      </w:pPr>
    </w:p>
    <w:p>
      <w:pPr>
        <w:ind w:left="160"/>
        <w:spacing w:after="0"/>
        <w:tabs>
          <w:tab w:leader="none" w:pos="5720" w:val="left"/>
        </w:tabs>
        <w:rPr>
          <w:sz w:val="20"/>
          <w:szCs w:val="20"/>
          <w:color w:val="auto"/>
        </w:rPr>
      </w:pPr>
      <w:r>
        <w:rPr>
          <w:rFonts w:ascii="Arial" w:cs="Arial" w:eastAsia="Arial" w:hAnsi="Arial"/>
          <w:sz w:val="18"/>
          <w:szCs w:val="18"/>
          <w:color w:val="auto"/>
        </w:rPr>
        <w:t>Commissions and agency fees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247255" cy="17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170815"/>
                    </a:xfrm>
                    <a:prstGeom prst="rect">
                      <a:avLst/>
                    </a:prstGeom>
                    <a:noFill/>
                  </pic:spPr>
                </pic:pic>
              </a:graphicData>
            </a:graphic>
          </wp:anchor>
        </w:drawing>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Franchise revenues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247255" cy="17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170815"/>
                    </a:xfrm>
                    <a:prstGeom prst="rect">
                      <a:avLst/>
                    </a:prstGeom>
                    <a:noFill/>
                  </pic:spPr>
                </pic:pic>
              </a:graphicData>
            </a:graphic>
          </wp:anchor>
        </w:drawing>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revenues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255" cy="417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417830"/>
                    </a:xfrm>
                    <a:prstGeom prst="rect">
                      <a:avLst/>
                    </a:prstGeom>
                    <a:noFill/>
                  </pic:spPr>
                </pic:pic>
              </a:graphicData>
            </a:graphic>
          </wp:anchor>
        </w:drawing>
      </w:r>
    </w:p>
    <w:p>
      <w:pPr>
        <w:spacing w:after="0" w:line="64" w:lineRule="exact"/>
        <w:rPr>
          <w:sz w:val="20"/>
          <w:szCs w:val="20"/>
          <w:color w:val="auto"/>
        </w:rPr>
      </w:pPr>
    </w:p>
    <w:p>
      <w:pPr>
        <w:ind w:left="160" w:right="400"/>
        <w:spacing w:after="0" w:line="239" w:lineRule="auto"/>
        <w:rPr>
          <w:sz w:val="20"/>
          <w:szCs w:val="20"/>
          <w:color w:val="auto"/>
        </w:rPr>
      </w:pPr>
      <w:r>
        <w:rPr>
          <w:rFonts w:ascii="Arial" w:cs="Arial" w:eastAsia="Arial" w:hAnsi="Arial"/>
          <w:sz w:val="18"/>
          <w:szCs w:val="18"/>
          <w:color w:val="auto"/>
        </w:rPr>
        <w:t>Employee compensation and benefits (including Class B unit compensation of $0 and $1,150 three months ended September 30, 2018 and 2017, respectively)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247255" cy="170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170815"/>
                    </a:xfrm>
                    <a:prstGeom prst="rect">
                      <a:avLst/>
                    </a:prstGeom>
                    <a:noFill/>
                  </pic:spPr>
                </pic:pic>
              </a:graphicData>
            </a:graphic>
          </wp:anchor>
        </w:drawing>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Bad debts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247255" cy="170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170815"/>
                    </a:xfrm>
                    <a:prstGeom prst="rect">
                      <a:avLst/>
                    </a:prstGeom>
                    <a:noFill/>
                  </pic:spPr>
                </pic:pic>
              </a:graphicData>
            </a:graphic>
          </wp:anchor>
        </w:drawing>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operating expenses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255" cy="170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170815"/>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31"/>
              <w:spacing w:after="0"/>
              <w:rPr>
                <w:sz w:val="20"/>
                <w:szCs w:val="20"/>
                <w:color w:val="auto"/>
              </w:rPr>
            </w:pPr>
            <w:r>
              <w:rPr>
                <w:rFonts w:ascii="Arial" w:cs="Arial" w:eastAsia="Arial" w:hAnsi="Arial"/>
                <w:sz w:val="18"/>
                <w:szCs w:val="18"/>
                <w:color w:val="auto"/>
              </w:rPr>
              <w:t>9,760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61%</w:t>
            </w: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6,692</w:t>
            </w: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69"/>
        </w:trPr>
        <w:tc>
          <w:tcPr>
            <w:tcW w:w="960" w:type="dxa"/>
            <w:vAlign w:val="bottom"/>
          </w:tcPr>
          <w:p>
            <w:pPr>
              <w:jc w:val="right"/>
              <w:ind w:right="331"/>
              <w:spacing w:after="0"/>
              <w:rPr>
                <w:sz w:val="20"/>
                <w:szCs w:val="20"/>
                <w:color w:val="auto"/>
              </w:rPr>
            </w:pPr>
            <w:r>
              <w:rPr>
                <w:rFonts w:ascii="Arial" w:cs="Arial" w:eastAsia="Arial" w:hAnsi="Arial"/>
                <w:sz w:val="18"/>
                <w:szCs w:val="18"/>
                <w:color w:val="auto"/>
              </w:rPr>
              <w:t>6,180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4,048</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5"/>
        </w:trPr>
        <w:tc>
          <w:tcPr>
            <w:tcW w:w="960" w:type="dxa"/>
            <w:vAlign w:val="bottom"/>
          </w:tcPr>
          <w:p>
            <w:pPr>
              <w:jc w:val="right"/>
              <w:ind w:right="331"/>
              <w:spacing w:after="0"/>
              <w:rPr>
                <w:sz w:val="20"/>
                <w:szCs w:val="20"/>
                <w:color w:val="auto"/>
              </w:rPr>
            </w:pPr>
            <w:r>
              <w:rPr>
                <w:rFonts w:ascii="Arial" w:cs="Arial" w:eastAsia="Arial" w:hAnsi="Arial"/>
                <w:sz w:val="18"/>
                <w:szCs w:val="18"/>
                <w:color w:val="auto"/>
              </w:rPr>
              <w:t>114</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2"/>
        </w:trPr>
        <w:tc>
          <w:tcPr>
            <w:tcW w:w="960" w:type="dxa"/>
            <w:vAlign w:val="bottom"/>
          </w:tcPr>
          <w:p>
            <w:pPr>
              <w:jc w:val="right"/>
              <w:ind w:right="331"/>
              <w:spacing w:after="0"/>
              <w:rPr>
                <w:sz w:val="20"/>
                <w:szCs w:val="20"/>
                <w:color w:val="auto"/>
              </w:rPr>
            </w:pPr>
            <w:r>
              <w:rPr>
                <w:rFonts w:ascii="Arial" w:cs="Arial" w:eastAsia="Arial" w:hAnsi="Arial"/>
                <w:sz w:val="18"/>
                <w:szCs w:val="18"/>
                <w:color w:val="auto"/>
                <w:w w:val="94"/>
              </w:rPr>
              <w:t>16,054</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10,807</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926"/>
        </w:trPr>
        <w:tc>
          <w:tcPr>
            <w:tcW w:w="960" w:type="dxa"/>
            <w:vAlign w:val="bottom"/>
          </w:tcPr>
          <w:p>
            <w:pPr>
              <w:jc w:val="right"/>
              <w:ind w:right="331"/>
              <w:spacing w:after="0"/>
              <w:rPr>
                <w:sz w:val="20"/>
                <w:szCs w:val="20"/>
                <w:color w:val="auto"/>
              </w:rPr>
            </w:pPr>
            <w:r>
              <w:rPr>
                <w:rFonts w:ascii="Arial" w:cs="Arial" w:eastAsia="Arial" w:hAnsi="Arial"/>
                <w:sz w:val="18"/>
                <w:szCs w:val="18"/>
                <w:color w:val="auto"/>
              </w:rPr>
              <w:t>8,956</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7,186</w:t>
            </w: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69"/>
        </w:trPr>
        <w:tc>
          <w:tcPr>
            <w:tcW w:w="960" w:type="dxa"/>
            <w:vAlign w:val="bottom"/>
          </w:tcPr>
          <w:p>
            <w:pPr>
              <w:jc w:val="right"/>
              <w:ind w:right="331"/>
              <w:spacing w:after="0"/>
              <w:rPr>
                <w:sz w:val="20"/>
                <w:szCs w:val="20"/>
                <w:color w:val="auto"/>
              </w:rPr>
            </w:pPr>
            <w:r>
              <w:rPr>
                <w:rFonts w:ascii="Arial" w:cs="Arial" w:eastAsia="Arial" w:hAnsi="Arial"/>
                <w:sz w:val="18"/>
                <w:szCs w:val="18"/>
                <w:color w:val="auto"/>
              </w:rPr>
              <w:t>3,694</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2,142</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9"/>
        </w:trPr>
        <w:tc>
          <w:tcPr>
            <w:tcW w:w="960" w:type="dxa"/>
            <w:vAlign w:val="bottom"/>
          </w:tcPr>
          <w:p>
            <w:pPr>
              <w:jc w:val="right"/>
              <w:ind w:right="331"/>
              <w:spacing w:after="0"/>
              <w:rPr>
                <w:sz w:val="20"/>
                <w:szCs w:val="20"/>
                <w:color w:val="auto"/>
              </w:rPr>
            </w:pPr>
            <w:r>
              <w:rPr>
                <w:rFonts w:ascii="Arial" w:cs="Arial" w:eastAsia="Arial" w:hAnsi="Arial"/>
                <w:sz w:val="18"/>
                <w:szCs w:val="18"/>
                <w:color w:val="auto"/>
              </w:rPr>
              <w:t>399</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5"/>
        </w:trPr>
        <w:tc>
          <w:tcPr>
            <w:tcW w:w="960" w:type="dxa"/>
            <w:vAlign w:val="bottom"/>
          </w:tcPr>
          <w:p>
            <w:pPr>
              <w:jc w:val="right"/>
              <w:ind w:right="331"/>
              <w:spacing w:after="0"/>
              <w:rPr>
                <w:sz w:val="20"/>
                <w:szCs w:val="20"/>
                <w:color w:val="auto"/>
              </w:rPr>
            </w:pPr>
            <w:r>
              <w:rPr>
                <w:rFonts w:ascii="Arial" w:cs="Arial" w:eastAsia="Arial" w:hAnsi="Arial"/>
                <w:sz w:val="18"/>
                <w:szCs w:val="18"/>
                <w:color w:val="auto"/>
              </w:rPr>
              <w:t>352</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9"/>
        </w:trPr>
        <w:tc>
          <w:tcPr>
            <w:tcW w:w="960" w:type="dxa"/>
            <w:vAlign w:val="bottom"/>
          </w:tcPr>
          <w:p>
            <w:pPr>
              <w:jc w:val="right"/>
              <w:ind w:right="331"/>
              <w:spacing w:after="0"/>
              <w:rPr>
                <w:sz w:val="20"/>
                <w:szCs w:val="20"/>
                <w:color w:val="auto"/>
              </w:rPr>
            </w:pPr>
            <w:r>
              <w:rPr>
                <w:rFonts w:ascii="Arial" w:cs="Arial" w:eastAsia="Arial" w:hAnsi="Arial"/>
                <w:sz w:val="18"/>
                <w:szCs w:val="18"/>
                <w:color w:val="auto"/>
                <w:w w:val="94"/>
              </w:rPr>
              <w:t>13,401</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9,924</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2"/>
        </w:trPr>
        <w:tc>
          <w:tcPr>
            <w:tcW w:w="960" w:type="dxa"/>
            <w:vAlign w:val="bottom"/>
          </w:tcPr>
          <w:p>
            <w:pPr>
              <w:jc w:val="right"/>
              <w:ind w:right="331"/>
              <w:spacing w:after="0"/>
              <w:rPr>
                <w:sz w:val="20"/>
                <w:szCs w:val="20"/>
                <w:color w:val="auto"/>
              </w:rPr>
            </w:pPr>
            <w:r>
              <w:rPr>
                <w:rFonts w:ascii="Arial" w:cs="Arial" w:eastAsia="Arial" w:hAnsi="Arial"/>
                <w:sz w:val="18"/>
                <w:szCs w:val="18"/>
                <w:color w:val="auto"/>
              </w:rPr>
              <w:t>2,653</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883</w:t>
            </w:r>
          </w:p>
        </w:tc>
        <w:tc>
          <w:tcPr>
            <w:tcW w:w="1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-161290</wp:posOffset>
            </wp:positionV>
            <wp:extent cx="1014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5940" w:space="720"/>
            <w:col w:w="4760"/>
          </w:cols>
          <w:pgMar w:left="240" w:top="792" w:right="2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36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8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r>
      <w:tr>
        <w:trPr>
          <w:trHeight w:val="275"/>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3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0" w:type="dxa"/>
            <w:vAlign w:val="bottom"/>
            <w:shd w:val="clear" w:color="auto" w:fill="CCEEFF"/>
          </w:tcPr>
          <w:p>
            <w:pPr>
              <w:spacing w:after="0"/>
              <w:rPr>
                <w:sz w:val="23"/>
                <w:szCs w:val="23"/>
                <w:color w:val="auto"/>
              </w:rPr>
            </w:pPr>
          </w:p>
        </w:tc>
      </w:tr>
      <w:tr>
        <w:trPr>
          <w:trHeight w:val="242"/>
        </w:trPr>
        <w:tc>
          <w:tcPr>
            <w:tcW w:w="5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Income (loss) before taxes</w:t>
            </w:r>
          </w:p>
        </w:tc>
        <w:tc>
          <w:tcPr>
            <w:tcW w:w="3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1,000</w:t>
            </w:r>
          </w:p>
        </w:tc>
        <w:tc>
          <w:tcPr>
            <w:tcW w:w="13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209</w:t>
            </w:r>
          </w:p>
        </w:tc>
        <w:tc>
          <w:tcPr>
            <w:tcW w:w="1200" w:type="dxa"/>
            <w:vAlign w:val="bottom"/>
            <w:tcBorders>
              <w:bottom w:val="single" w:sz="8" w:color="CCEEFF"/>
            </w:tcBorders>
          </w:tcPr>
          <w:p>
            <w:pPr>
              <w:spacing w:after="0"/>
              <w:rPr>
                <w:sz w:val="21"/>
                <w:szCs w:val="21"/>
                <w:color w:val="auto"/>
              </w:rPr>
            </w:pPr>
          </w:p>
        </w:tc>
      </w:tr>
      <w:tr>
        <w:trPr>
          <w:trHeight w:val="255"/>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expense</w:t>
            </w:r>
          </w:p>
        </w:tc>
        <w:tc>
          <w:tcPr>
            <w:tcW w:w="3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3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1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r>
      <w:tr>
        <w:trPr>
          <w:trHeight w:val="242"/>
        </w:trPr>
        <w:tc>
          <w:tcPr>
            <w:tcW w:w="5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836</w:t>
            </w:r>
          </w:p>
        </w:tc>
        <w:tc>
          <w:tcPr>
            <w:tcW w:w="13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209</w:t>
            </w:r>
          </w:p>
        </w:tc>
        <w:tc>
          <w:tcPr>
            <w:tcW w:w="1200" w:type="dxa"/>
            <w:vAlign w:val="bottom"/>
            <w:tcBorders>
              <w:bottom w:val="single" w:sz="8" w:color="CCEEFF"/>
            </w:tcBorders>
          </w:tcPr>
          <w:p>
            <w:pPr>
              <w:spacing w:after="0"/>
              <w:rPr>
                <w:sz w:val="21"/>
                <w:szCs w:val="21"/>
                <w:color w:val="auto"/>
              </w:rPr>
            </w:pPr>
          </w:p>
        </w:tc>
      </w:tr>
      <w:tr>
        <w:trPr>
          <w:trHeight w:val="25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36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3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200" w:type="dxa"/>
            <w:vAlign w:val="bottom"/>
            <w:shd w:val="clear" w:color="auto" w:fill="CCEEFF"/>
          </w:tcPr>
          <w:p>
            <w:pPr>
              <w:spacing w:after="0"/>
              <w:rPr>
                <w:sz w:val="22"/>
                <w:szCs w:val="22"/>
                <w:color w:val="auto"/>
              </w:rPr>
            </w:pPr>
          </w:p>
        </w:tc>
      </w:tr>
      <w:tr>
        <w:trPr>
          <w:trHeight w:val="242"/>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Goosehead Insurance, Inc.</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300" w:type="dxa"/>
            <w:vAlign w:val="bottom"/>
          </w:tcPr>
          <w:p>
            <w:pPr>
              <w:spacing w:after="0"/>
              <w:rPr>
                <w:sz w:val="21"/>
                <w:szCs w:val="21"/>
                <w:color w:val="auto"/>
              </w:rPr>
            </w:pPr>
          </w:p>
        </w:tc>
        <w:tc>
          <w:tcPr>
            <w:tcW w:w="620" w:type="dxa"/>
            <w:vAlign w:val="bottom"/>
          </w:tcPr>
          <w:p>
            <w:pPr>
              <w:jc w:val="right"/>
              <w:ind w:right="411"/>
              <w:spacing w:after="0"/>
              <w:rPr>
                <w:sz w:val="20"/>
                <w:szCs w:val="20"/>
                <w:color w:val="auto"/>
              </w:rPr>
            </w:pPr>
            <w:r>
              <w:rPr>
                <w:rFonts w:ascii="Arial" w:cs="Arial" w:eastAsia="Arial" w:hAnsi="Arial"/>
                <w:sz w:val="18"/>
                <w:szCs w:val="18"/>
                <w:color w:val="auto"/>
                <w:w w:val="99"/>
              </w:rPr>
              <w:t>$</w:t>
            </w:r>
          </w:p>
        </w:tc>
        <w:tc>
          <w:tcPr>
            <w:tcW w:w="218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59"/>
        </w:trPr>
        <w:tc>
          <w:tcPr>
            <w:tcW w:w="536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2018 and 2017: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8"/>
                <w:szCs w:val="18"/>
                <w:b w:val="1"/>
                <w:bCs w:val="1"/>
                <w:color w:val="auto"/>
              </w:rPr>
              <w:t>Nine Months Ended September 30</w:t>
            </w:r>
          </w:p>
        </w:tc>
        <w:tc>
          <w:tcPr>
            <w:tcW w:w="1200" w:type="dxa"/>
            <w:vAlign w:val="bottom"/>
            <w:tcBorders>
              <w:bottom w:val="single" w:sz="8" w:color="auto"/>
            </w:tcBorders>
          </w:tcPr>
          <w:p>
            <w:pPr>
              <w:spacing w:after="0"/>
              <w:rPr>
                <w:sz w:val="21"/>
                <w:szCs w:val="21"/>
                <w:color w:val="auto"/>
              </w:rPr>
            </w:pPr>
          </w:p>
        </w:tc>
      </w:tr>
      <w:tr>
        <w:trPr>
          <w:trHeight w:val="262"/>
        </w:trPr>
        <w:tc>
          <w:tcPr>
            <w:tcW w:w="57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2017</w:t>
            </w: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2"/>
        </w:trPr>
        <w:tc>
          <w:tcPr>
            <w:tcW w:w="5720" w:type="dxa"/>
            <w:vAlign w:val="bottom"/>
          </w:tcPr>
          <w:p>
            <w:pPr>
              <w:ind w:left="160"/>
              <w:spacing w:after="0"/>
              <w:rPr>
                <w:sz w:val="20"/>
                <w:szCs w:val="20"/>
                <w:color w:val="auto"/>
              </w:rPr>
            </w:pPr>
            <w:r>
              <w:rPr>
                <w:rFonts w:ascii="Arial" w:cs="Arial" w:eastAsia="Arial" w:hAnsi="Arial"/>
                <w:sz w:val="18"/>
                <w:szCs w:val="18"/>
                <w:color w:val="auto"/>
              </w:rPr>
              <w:t>Commissions and agency fees</w:t>
            </w:r>
          </w:p>
        </w:tc>
        <w:tc>
          <w:tcPr>
            <w:tcW w:w="5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28,072</w:t>
            </w: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5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19,908</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5"/>
        </w:trPr>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Franchise revenues</w:t>
            </w: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17,060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11,499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2"/>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45,431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31,576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2"/>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7"/>
        </w:trPr>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compensation and benefits (including Class B unit</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1"/>
        </w:trPr>
        <w:tc>
          <w:tcPr>
            <w:tcW w:w="5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compensation of $26,134 and $1,335 for the nine months ended</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2018 and 2017, respectively)</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49,646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17,629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62"/>
        </w:trPr>
        <w:tc>
          <w:tcPr>
            <w:tcW w:w="572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9,093</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5,987</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5"/>
        </w:trPr>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Bad debts</w:t>
            </w: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2"/>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60,762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25,083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2"/>
        </w:trPr>
        <w:tc>
          <w:tcPr>
            <w:tcW w:w="5720" w:type="dxa"/>
            <w:vAlign w:val="bottom"/>
          </w:tcPr>
          <w:p>
            <w:pPr>
              <w:ind w:left="380"/>
              <w:spacing w:after="0"/>
              <w:rPr>
                <w:sz w:val="20"/>
                <w:szCs w:val="20"/>
                <w:color w:val="auto"/>
              </w:rPr>
            </w:pPr>
            <w:r>
              <w:rPr>
                <w:rFonts w:ascii="Arial" w:cs="Arial" w:eastAsia="Arial" w:hAnsi="Arial"/>
                <w:sz w:val="18"/>
                <w:szCs w:val="18"/>
                <w:b w:val="1"/>
                <w:bCs w:val="1"/>
                <w:color w:val="auto"/>
              </w:rPr>
              <w:t>Income (loss) from operations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(15,331)</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6,493</w:t>
            </w:r>
          </w:p>
        </w:tc>
        <w:tc>
          <w:tcPr>
            <w:tcW w:w="1200" w:type="dxa"/>
            <w:vAlign w:val="bottom"/>
          </w:tcPr>
          <w:p>
            <w:pPr>
              <w:spacing w:after="0"/>
              <w:rPr>
                <w:sz w:val="21"/>
                <w:szCs w:val="21"/>
                <w:color w:val="auto"/>
              </w:rPr>
            </w:pPr>
          </w:p>
        </w:tc>
      </w:tr>
      <w:tr>
        <w:trPr>
          <w:trHeight w:val="25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2"/>
        </w:trPr>
        <w:tc>
          <w:tcPr>
            <w:tcW w:w="572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3,541</w:t>
            </w:r>
          </w:p>
        </w:tc>
        <w:tc>
          <w:tcPr>
            <w:tcW w:w="1200" w:type="dxa"/>
            <w:vAlign w:val="bottom"/>
          </w:tcPr>
          <w:p>
            <w:pPr>
              <w:spacing w:after="0"/>
              <w:rPr>
                <w:sz w:val="22"/>
                <w:szCs w:val="22"/>
                <w:color w:val="auto"/>
              </w:rPr>
            </w:pPr>
          </w:p>
        </w:tc>
      </w:tr>
      <w:tr>
        <w:trPr>
          <w:trHeight w:val="275"/>
        </w:trPr>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0" w:type="dxa"/>
            <w:vAlign w:val="bottom"/>
            <w:shd w:val="clear" w:color="auto" w:fill="CCEEFF"/>
          </w:tcPr>
          <w:p>
            <w:pPr>
              <w:spacing w:after="0"/>
              <w:rPr>
                <w:sz w:val="23"/>
                <w:szCs w:val="23"/>
                <w:color w:val="auto"/>
              </w:rPr>
            </w:pPr>
          </w:p>
        </w:tc>
      </w:tr>
      <w:tr>
        <w:trPr>
          <w:trHeight w:val="242"/>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Income (loss) before taxes</w:t>
            </w: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(18,951)</w:t>
            </w: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8,300</w:t>
            </w:r>
          </w:p>
        </w:tc>
        <w:tc>
          <w:tcPr>
            <w:tcW w:w="1200" w:type="dxa"/>
            <w:vAlign w:val="bottom"/>
            <w:tcBorders>
              <w:bottom w:val="single" w:sz="8" w:color="CCEEFF"/>
            </w:tcBorders>
          </w:tcPr>
          <w:p>
            <w:pPr>
              <w:spacing w:after="0"/>
              <w:rPr>
                <w:sz w:val="21"/>
                <w:szCs w:val="21"/>
                <w:color w:val="auto"/>
              </w:rPr>
            </w:pPr>
          </w:p>
        </w:tc>
      </w:tr>
      <w:tr>
        <w:trPr>
          <w:trHeight w:val="255"/>
        </w:trPr>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expense</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22"/>
                <w:szCs w:val="22"/>
                <w:color w:val="auto"/>
              </w:rPr>
            </w:pPr>
          </w:p>
        </w:tc>
      </w:tr>
      <w:tr>
        <w:trPr>
          <w:trHeight w:val="242"/>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 (loss)</w:t>
            </w: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(19,269)</w:t>
            </w: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8,300</w:t>
            </w:r>
          </w:p>
        </w:tc>
        <w:tc>
          <w:tcPr>
            <w:tcW w:w="1200" w:type="dxa"/>
            <w:vAlign w:val="bottom"/>
            <w:tcBorders>
              <w:bottom w:val="single" w:sz="8" w:color="CCEEFF"/>
            </w:tcBorders>
          </w:tcPr>
          <w:p>
            <w:pPr>
              <w:spacing w:after="0"/>
              <w:rPr>
                <w:sz w:val="21"/>
                <w:szCs w:val="21"/>
                <w:color w:val="auto"/>
              </w:rPr>
            </w:pPr>
          </w:p>
        </w:tc>
      </w:tr>
      <w:tr>
        <w:trPr>
          <w:trHeight w:val="255"/>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8,300</w:t>
            </w:r>
          </w:p>
        </w:tc>
        <w:tc>
          <w:tcPr>
            <w:tcW w:w="1200" w:type="dxa"/>
            <w:vAlign w:val="bottom"/>
            <w:shd w:val="clear" w:color="auto" w:fill="CCEEFF"/>
          </w:tcPr>
          <w:p>
            <w:pPr>
              <w:spacing w:after="0"/>
              <w:rPr>
                <w:sz w:val="22"/>
                <w:szCs w:val="22"/>
                <w:color w:val="auto"/>
              </w:rPr>
            </w:pPr>
          </w:p>
        </w:tc>
      </w:tr>
      <w:tr>
        <w:trPr>
          <w:trHeight w:val="242"/>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Goosehead Insurance, Inc.</w:t>
            </w:r>
          </w:p>
        </w:tc>
        <w:tc>
          <w:tcPr>
            <w:tcW w:w="5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three months ended September 30, 2018, revenue increased by 49% to $16.1 million from $10.8 million for the three months ended September 30, 2017. For the nine months ended September 30, 2018, revenue increased by 44% to $45.4 million from $31.6 million for the nine months ended September 30, 2017. We experienced headwinds due to a softness in the housing market towards the end of the third quarter that we expect to continue into the fourth quarter. However, we are taking steps during the fourth quarter that are designed to mitigate these housing market headwinds.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i w:val="1"/>
                <w:iCs w:val="1"/>
                <w:color w:val="auto"/>
              </w:rPr>
              <w:t>Commissions and agency fees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6"/>
        </w:trPr>
        <w:tc>
          <w:tcPr>
            <w:tcW w:w="3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8"/>
                <w:szCs w:val="18"/>
                <w:b w:val="1"/>
                <w:bCs w:val="1"/>
                <w:color w:val="auto"/>
              </w:rPr>
              <w:t>Nine months ended September 30,</w:t>
            </w:r>
          </w:p>
        </w:tc>
      </w:tr>
      <w:tr>
        <w:trPr>
          <w:trHeight w:val="262"/>
        </w:trPr>
        <w:tc>
          <w:tcPr>
            <w:tcW w:w="3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2"/>
                <w:szCs w:val="22"/>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2017</w:t>
            </w: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2"/>
                <w:szCs w:val="22"/>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jc w:val="right"/>
              <w:ind w:right="91"/>
              <w:spacing w:after="0"/>
              <w:rPr>
                <w:sz w:val="20"/>
                <w:szCs w:val="20"/>
                <w:color w:val="auto"/>
              </w:rPr>
            </w:pPr>
            <w:r>
              <w:rPr>
                <w:rFonts w:ascii="Arial" w:cs="Arial" w:eastAsia="Arial" w:hAnsi="Arial"/>
                <w:sz w:val="18"/>
                <w:szCs w:val="18"/>
                <w:b w:val="1"/>
                <w:bCs w:val="1"/>
                <w:color w:val="auto"/>
              </w:rPr>
              <w:t>% Change</w:t>
            </w:r>
          </w:p>
        </w:tc>
      </w:tr>
      <w:tr>
        <w:trPr>
          <w:trHeight w:val="269"/>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Business Revenue (Corporate)</w:t>
            </w: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2,721</w:t>
            </w:r>
          </w:p>
        </w:tc>
        <w:tc>
          <w:tcPr>
            <w:tcW w:w="5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1,604</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6,831</w:t>
            </w:r>
          </w:p>
        </w:tc>
        <w:tc>
          <w:tcPr>
            <w:tcW w:w="4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3,970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62"/>
        </w:trPr>
        <w:tc>
          <w:tcPr>
            <w:tcW w:w="3440" w:type="dxa"/>
            <w:vAlign w:val="bottom"/>
          </w:tcPr>
          <w:p>
            <w:pPr>
              <w:ind w:left="40"/>
              <w:spacing w:after="0"/>
              <w:rPr>
                <w:sz w:val="20"/>
                <w:szCs w:val="20"/>
                <w:color w:val="auto"/>
              </w:rPr>
            </w:pPr>
            <w:r>
              <w:rPr>
                <w:rFonts w:ascii="Arial" w:cs="Arial" w:eastAsia="Arial" w:hAnsi="Arial"/>
                <w:sz w:val="18"/>
                <w:szCs w:val="18"/>
                <w:color w:val="auto"/>
              </w:rPr>
              <w:t>Agency Fees</w:t>
            </w:r>
          </w:p>
        </w:tc>
        <w:tc>
          <w:tcPr>
            <w:tcW w:w="32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1,412</w:t>
            </w:r>
          </w:p>
        </w:tc>
        <w:tc>
          <w:tcPr>
            <w:tcW w:w="500" w:type="dxa"/>
            <w:vAlign w:val="bottom"/>
          </w:tcPr>
          <w:p>
            <w:pPr>
              <w:spacing w:after="0"/>
              <w:rPr>
                <w:sz w:val="22"/>
                <w:szCs w:val="22"/>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906</w:t>
            </w: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3,865</w:t>
            </w:r>
          </w:p>
        </w:tc>
        <w:tc>
          <w:tcPr>
            <w:tcW w:w="400" w:type="dxa"/>
            <w:vAlign w:val="bottom"/>
          </w:tcPr>
          <w:p>
            <w:pPr>
              <w:spacing w:after="0"/>
              <w:rPr>
                <w:sz w:val="22"/>
                <w:szCs w:val="22"/>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2,506</w:t>
            </w: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5"/>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Renewal Revenue (Corporate)</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4,913</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13,644</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11,379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62"/>
        </w:trPr>
        <w:tc>
          <w:tcPr>
            <w:tcW w:w="3440" w:type="dxa"/>
            <w:vAlign w:val="bottom"/>
          </w:tcPr>
          <w:p>
            <w:pPr>
              <w:ind w:left="40"/>
              <w:spacing w:after="0"/>
              <w:rPr>
                <w:sz w:val="20"/>
                <w:szCs w:val="20"/>
                <w:color w:val="auto"/>
              </w:rPr>
            </w:pPr>
            <w:r>
              <w:rPr>
                <w:rFonts w:ascii="Arial" w:cs="Arial" w:eastAsia="Arial" w:hAnsi="Arial"/>
                <w:sz w:val="18"/>
                <w:szCs w:val="18"/>
                <w:color w:val="auto"/>
              </w:rPr>
              <w:t>Contingent Commissions (Corporate)</w:t>
            </w:r>
          </w:p>
        </w:tc>
        <w:tc>
          <w:tcPr>
            <w:tcW w:w="32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326</w:t>
            </w:r>
          </w:p>
        </w:tc>
        <w:tc>
          <w:tcPr>
            <w:tcW w:w="500" w:type="dxa"/>
            <w:vAlign w:val="bottom"/>
          </w:tcPr>
          <w:p>
            <w:pPr>
              <w:spacing w:after="0"/>
              <w:rPr>
                <w:sz w:val="22"/>
                <w:szCs w:val="22"/>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1,414</w:t>
            </w:r>
          </w:p>
        </w:tc>
        <w:tc>
          <w:tcPr>
            <w:tcW w:w="400" w:type="dxa"/>
            <w:vAlign w:val="bottom"/>
          </w:tcPr>
          <w:p>
            <w:pPr>
              <w:spacing w:after="0"/>
              <w:rPr>
                <w:sz w:val="22"/>
                <w:szCs w:val="22"/>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844</w:t>
            </w: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5"/>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Commissions (Franchise)</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2,318</w:t>
            </w: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1,209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5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Commissions and agency fees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9,760</w:t>
            </w:r>
          </w:p>
        </w:tc>
        <w:tc>
          <w:tcPr>
            <w:tcW w:w="5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6,692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28,072</w:t>
            </w:r>
          </w:p>
        </w:tc>
        <w:tc>
          <w:tcPr>
            <w:tcW w:w="4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19,908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New Business Revenue (Corporate) increased by $ 1.1 million, or 70%, to $2.7 million for the three months ended September 30, 2018 from $1.6 million for the three months ended September 30, 2017, and increased by $2.9 million, or 72%, to $6.8 million for the nine months ended September 30, 2018 from $4.0 million for the nine months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3" w:right="239" w:bottom="1440" w:gutter="0" w:footer="0" w:header="0"/>
        </w:sectPr>
      </w:pPr>
    </w:p>
    <w:bookmarkStart w:id="26" w:name="page27"/>
    <w:bookmarkEnd w:id="26"/>
    <w:p>
      <w:pPr>
        <w:ind w:right="20"/>
        <w:spacing w:after="0" w:line="272" w:lineRule="auto"/>
        <w:rPr>
          <w:sz w:val="20"/>
          <w:szCs w:val="20"/>
          <w:color w:val="auto"/>
        </w:rPr>
      </w:pPr>
      <w:r>
        <w:rPr>
          <w:rFonts w:ascii="Arial" w:cs="Arial" w:eastAsia="Arial" w:hAnsi="Arial"/>
          <w:sz w:val="17"/>
          <w:szCs w:val="17"/>
          <w:color w:val="auto"/>
        </w:rPr>
        <w:t>ended September 30, 2017. Revenue from Agency Fees increased by $0.5 million, or 56%, to $1.4 million for the three months ended September 30, 2018 from $0.9 million for the three months ended September 30, 2017, and increased by $1.4 million, or 54%, to $3.9 million for the nine months ended September 30, 2018 from $2.5 million for the nine months ended September 30, 2017. These increases were primarily attributable to an increase in total sales agent head count to 174 at September 30, 2018, from 112 at September 30, 2017, a 55% increase.</w:t>
      </w:r>
    </w:p>
    <w:p>
      <w:pPr>
        <w:spacing w:after="0" w:line="81" w:lineRule="exact"/>
        <w:rPr>
          <w:sz w:val="20"/>
          <w:szCs w:val="20"/>
          <w:color w:val="auto"/>
        </w:rPr>
      </w:pPr>
    </w:p>
    <w:p>
      <w:pPr>
        <w:ind w:right="480"/>
        <w:spacing w:after="0" w:line="252" w:lineRule="auto"/>
        <w:rPr>
          <w:sz w:val="20"/>
          <w:szCs w:val="20"/>
          <w:color w:val="auto"/>
        </w:rPr>
      </w:pPr>
      <w:r>
        <w:rPr>
          <w:rFonts w:ascii="Arial" w:cs="Arial" w:eastAsia="Arial" w:hAnsi="Arial"/>
          <w:sz w:val="18"/>
          <w:szCs w:val="18"/>
          <w:color w:val="auto"/>
        </w:rPr>
        <w:t>Renewal Revenue (Corporate) increased by $ 0.8 million or 19%, to $4.9 million for the three months ended September 30, 2018 from $4.1 million for the three months ended September 30, 2017, and increased by $2.3 million or 20%, to $13.6 million for the nine months ended September 30, 2018 from $11.4 million for the nine months ended September 30, 2017. These increases are primarily attributable to an increase in the number of policies in the renewal term from September 30, 2017 to 2018.</w:t>
      </w:r>
    </w:p>
    <w:p>
      <w:pPr>
        <w:spacing w:after="0" w:line="9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Revenue from Contingent Commissions in the Corporate Channel increased by $0.3 million, to $0.3 million for the three months ended September 30, 2018, and increased by $0.6 million, or 68%, to $1.4 million for the nine months ended September 30, 2018 from $0.8 million for the nine months ended September 30, 2017. The increase between the three-month periods is due to the timing of the receipt of Contingent Commissions, as the Company received a contingency in the third quarter this year, that is typically received in the fourth quarter. The increase between the nine-month periods is primarily attributable to the increase in Total Written Premium from September 30, 2017 to 2018.</w:t>
      </w:r>
    </w:p>
    <w:p>
      <w:pPr>
        <w:spacing w:after="0" w:line="8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Revenue from Contingent Commissions in the Franchise Channel increased $0.3 million, or 536% to $0.4 million for the three months ended September 30, 2018 from $61 thousand for the three months ended September 30, 2017, and increased $1.1 million, or 92% to $2.3 million for the nine months ended September 30, 2018 from $1.2 million for the nine months ended September 30, 2017. The increase between the three-month periods is due to the timing of the receipt of Contingent Commissions, as the Company received a contingency in the third quarter this year, that is typically received in the fourth quarter. The increase between the nine-month periods is primarily attributable to the increase in Total Written Premium from September 30, 2017 to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 September 30,</w:t>
            </w:r>
          </w:p>
        </w:tc>
      </w:tr>
      <w:tr>
        <w:trPr>
          <w:trHeight w:val="262"/>
        </w:trPr>
        <w:tc>
          <w:tcPr>
            <w:tcW w:w="2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2"/>
                <w:szCs w:val="22"/>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400" w:type="dxa"/>
            <w:vAlign w:val="bottom"/>
            <w:gridSpan w:val="2"/>
          </w:tcPr>
          <w:p>
            <w:pPr>
              <w:ind w:left="340"/>
              <w:spacing w:after="0"/>
              <w:rPr>
                <w:sz w:val="20"/>
                <w:szCs w:val="20"/>
                <w:color w:val="auto"/>
              </w:rPr>
            </w:pPr>
            <w:r>
              <w:rPr>
                <w:rFonts w:ascii="Arial" w:cs="Arial" w:eastAsia="Arial" w:hAnsi="Arial"/>
                <w:sz w:val="16"/>
                <w:szCs w:val="16"/>
                <w:b w:val="1"/>
                <w:bCs w:val="1"/>
                <w:color w:val="auto"/>
              </w:rPr>
              <w:t>% Change</w:t>
            </w:r>
          </w:p>
        </w:tc>
        <w:tc>
          <w:tcPr>
            <w:tcW w:w="4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2"/>
                <w:szCs w:val="22"/>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69"/>
        </w:trPr>
        <w:tc>
          <w:tcPr>
            <w:tcW w:w="2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Business Royalty Fees</w:t>
            </w: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1,372</w:t>
            </w:r>
          </w:p>
        </w:tc>
        <w:tc>
          <w:tcPr>
            <w:tcW w:w="5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911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3,649</w:t>
            </w:r>
          </w:p>
        </w:tc>
        <w:tc>
          <w:tcPr>
            <w:tcW w:w="5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2,485</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59"/>
        </w:trPr>
        <w:tc>
          <w:tcPr>
            <w:tcW w:w="2580" w:type="dxa"/>
            <w:vAlign w:val="bottom"/>
          </w:tcPr>
          <w:p>
            <w:pPr>
              <w:ind w:left="40"/>
              <w:spacing w:after="0"/>
              <w:rPr>
                <w:sz w:val="20"/>
                <w:szCs w:val="20"/>
                <w:color w:val="auto"/>
              </w:rPr>
            </w:pPr>
            <w:r>
              <w:rPr>
                <w:rFonts w:ascii="Arial" w:cs="Arial" w:eastAsia="Arial" w:hAnsi="Arial"/>
                <w:sz w:val="16"/>
                <w:szCs w:val="16"/>
                <w:color w:val="auto"/>
              </w:rPr>
              <w:t>Renewal Royalty Fees</w:t>
            </w:r>
          </w:p>
        </w:tc>
        <w:tc>
          <w:tcPr>
            <w:tcW w:w="4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3,373</w:t>
            </w:r>
          </w:p>
        </w:tc>
        <w:tc>
          <w:tcPr>
            <w:tcW w:w="580" w:type="dxa"/>
            <w:vAlign w:val="bottom"/>
          </w:tcPr>
          <w:p>
            <w:pPr>
              <w:spacing w:after="0"/>
              <w:rPr>
                <w:sz w:val="22"/>
                <w:szCs w:val="22"/>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2,107</w:t>
            </w:r>
          </w:p>
        </w:tc>
        <w:tc>
          <w:tcPr>
            <w:tcW w:w="13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8,766</w:t>
            </w:r>
          </w:p>
        </w:tc>
        <w:tc>
          <w:tcPr>
            <w:tcW w:w="540" w:type="dxa"/>
            <w:vAlign w:val="bottom"/>
          </w:tcPr>
          <w:p>
            <w:pPr>
              <w:spacing w:after="0"/>
              <w:rPr>
                <w:sz w:val="22"/>
                <w:szCs w:val="22"/>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5,664</w:t>
            </w:r>
          </w:p>
        </w:tc>
        <w:tc>
          <w:tcPr>
            <w:tcW w:w="13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8"/>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Franchise Fees</w:t>
            </w: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1,435</w:t>
            </w:r>
          </w:p>
        </w:tc>
        <w:tc>
          <w:tcPr>
            <w:tcW w:w="5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1,030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4,645</w:t>
            </w:r>
          </w:p>
        </w:tc>
        <w:tc>
          <w:tcPr>
            <w:tcW w:w="5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3,350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55"/>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Franchise revenues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6,180</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4,048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17,060</w:t>
            </w: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11,499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2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Revenue from New Business Royalty Fees increased by $0.5 million, or 51%, to $1.4 million for the three months ended September 30, 2018 from $ 0.9 million for the three months ended September 30, 2017, and increased by $1.2 million, or 47%, to $ 3.6 million for the nine months ended September 30, 2018 from $2.5 million for the nine months ended September 30, 2017. The increase in revenue from New Business Royalty Fees was primarily attributable to an increase in the total number of operating franchises from September 30, 2017 to 2018.</w:t>
      </w:r>
    </w:p>
    <w:p>
      <w:pPr>
        <w:spacing w:after="0" w:line="81"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Revenue from Renewal Royalty Fees increase by $ 1.3 million, or 60%, to $3.4 million, for the three months ended September 30, 2018 from $2.1 million for the three months ended September 30, 2017, and increased by $3.1 million, or 55%, to $8.8 million for the nine months ended September 30, 2018 from $ 5.7 million for the nine months ended September 30, 2017. The increase in revenue from Renewal Royalty Fees was primarily attributable to an increase in the number of policies in the renewal term, and the higher Royalty Fee rate on renewal business compared to new business (50% vs. 20%, respectively).</w:t>
      </w:r>
    </w:p>
    <w:p>
      <w:pPr>
        <w:spacing w:after="0" w:line="9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Revenues from Initial Franchise Fees increased by $0.4 million, or 39%, to $ 1.4 million for the three months ended September 30, 2018 from $1.0 million for the three months ended September 30, 2017, and increased by $1.3 million, or 39%, to $4.6 million for the nine months ended September 30, 2018 from $3.4 million for the nine months ended September 30, 2017. The increase in revenue from Initial Franchise Fees was attributable to an increase in the total number of franchises that attended training from the three and nine months ended September 30, 2017 to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3" w:right="239" w:bottom="1440" w:gutter="0" w:footer="0" w:header="0"/>
        </w:sectPr>
      </w:pPr>
    </w:p>
    <w:bookmarkStart w:id="27" w:name="page28"/>
    <w:bookmarkEnd w:id="27"/>
    <w:p>
      <w:pPr>
        <w:ind w:right="120"/>
        <w:spacing w:after="0" w:line="252" w:lineRule="auto"/>
        <w:rPr>
          <w:sz w:val="20"/>
          <w:szCs w:val="20"/>
          <w:color w:val="auto"/>
        </w:rPr>
      </w:pPr>
      <w:r>
        <w:rPr>
          <w:rFonts w:ascii="Arial" w:cs="Arial" w:eastAsia="Arial" w:hAnsi="Arial"/>
          <w:sz w:val="18"/>
          <w:szCs w:val="18"/>
          <w:color w:val="auto"/>
        </w:rPr>
        <w:t>Interest income increased by $47 thousand, or 70%, to $114 thousand for the three months ended September 30, 2018 from $ 67 thousand for the three months ended September 30, 2017, and increased by $130 thousand, or 77%, to $299 thousand for the nine months ended September 30, 2018 from $169 thousand for the nine months ended September 30, 2017. This increase was primarily attributable to additional Franchise Agreements signed under the payment plan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3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Employee compensation and benefits expenses increased by $1.8 million, or 25%, to $ 9.0 million for the three months ended September 30, 2018 from $7.2 million for the three months ended September 30, 2017, and increased by $32.0 million, or 182%, to $49.6 million for the nine months ended September 30, 2018 from $17.6 million for the nine months ended September 30, 2017. This increase was primarily attributable to a $24.8 million increase in Class B unit compensation, a $0.6 million increase in non-cash stock option expense and an increase in total headcount from the three and nine months ended September 30, 2017 to the three and nine months ended September 30,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General and administrative expenses increased by $1.6 million, or 72%, to $ 3.7 million for the three months ended September 30, 2018 from $2.1 million for the three months ended September 30, 2017, and increased by $3.1 million, or 52%, to $9.1 million for the nine months ended September 30, 2018 from $6.0 million for the nine months ended September 30, 2017. This increase was primarily attributable to higher costs associated with an increase in operating franchises and employees, higher rent expense at our new corporate headquarters, investments made in technology, and additional costs associated with operating as a public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debts</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Bad debts decreased by $124 thousand, or 45%, to $399 thousand for the three months ended September 30, 2018 from $ 275 thousand for the three months ended September 30, 2017, and increased by $134 thousand, or 16%, to $984 thousand for the nine months ended September 30, 2018 from $850 thousand for the nine months ended September 30,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Depreciation and amortization increased by $31 thousand, or 10%, to $ 0.4 million for the three months ended September 30, 2018 from $0.3 million for the three months ended September 30, 2017, and increased by $0.4 million, or 68%, to $1.0 million for the nine months ended September 30, 2018 from $0.6 million for the nine months ended September 30, 2017. This increase was primarily attributable to the increase in fixed assets during the same period, including expansion of existing corporate offices and hardware for additional employees hired. These changes were partially offset by the disposal of furniture in connection with a corporate lease ending.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Interest expenses increased by $1.0 million, or 142%, to $1.6 million for the three months ended September 30, 2018 from $ 0.7 million for the three months ended September 30, 2017, and increased by $1.9 million, or 107%, to $3.6 million for the nine months ended September 30, 2018 from $1.7 million for the nine months ended September 30, 2017. This increase was primarily attributable to the additional Term Loan balance added in 2017, $ 871 thousand in origination fees from previous debt immediately recognized upon refinance, and was partially offset by the Company refinancing the existing term loan with a lower interest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137"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auto"/>
        </w:rPr>
        <w:t>Corporate Channel Adjusted EBITDA is Segment earnings before interest, income taxes, depreciation and amortization allocable to the Corporate Channel.</w:t>
      </w:r>
    </w:p>
    <w:p>
      <w:pPr>
        <w:spacing w:after="0" w:line="9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Corporate Channel Adjusted EBITDA increased by $0.6 million, or 39%, to $ 2.0 million for the three months ended September 30, 2018 from $1.4 million for the three months ended September 30, 2017, and increased by $1.2 million, or 24%, to $6.0 million for the nine months ended September 30, 2018 from $4.8 million for the nine months ended September 30, 2017. This increase is primarily attributable higher New Business Revenue (Corporate) from increased hiring and agent ramp-up, plus an increase in more profitable Renewal Revenue (Corporate), as described above, and an increase in Contingent Commissions received due to timing, offset by an increase in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03" w:right="259" w:bottom="1440" w:gutter="0" w:footer="0" w:header="0"/>
        </w:sectPr>
      </w:pPr>
    </w:p>
    <w:bookmarkStart w:id="28" w:name="page29"/>
    <w:bookmarkEnd w:id="28"/>
    <w:p>
      <w:pPr>
        <w:ind w:right="400"/>
        <w:spacing w:after="0" w:line="259" w:lineRule="auto"/>
        <w:rPr>
          <w:sz w:val="20"/>
          <w:szCs w:val="20"/>
          <w:color w:val="auto"/>
        </w:rPr>
      </w:pPr>
      <w:r>
        <w:rPr>
          <w:rFonts w:ascii="Arial" w:cs="Arial" w:eastAsia="Arial" w:hAnsi="Arial"/>
          <w:sz w:val="18"/>
          <w:szCs w:val="18"/>
          <w:color w:val="auto"/>
        </w:rPr>
        <w:t>employee compensation and benefits from additional hiring and higher general and administrative expenses related to additional hiring and investments in technology.</w:t>
      </w:r>
    </w:p>
    <w:p>
      <w:pPr>
        <w:spacing w:after="0" w:line="19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Franchise Channel Adjusted EBITDA is Segment earnings before interest, income taxes, depreciation and amortization, adjusted to exclude other non-operating items.</w:t>
      </w:r>
    </w:p>
    <w:p>
      <w:pPr>
        <w:spacing w:after="0" w:line="90"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Franchise Channel Adjusted EBITDA increased by $0.8 million, or 75%, to $ 1.8 million for the three months ended September 30, 2018 from $1.1 million for the three months ended September 30, 2017, and increased by $3.4 million, or 89%, to $7.2 million for the nine months ended September 30, 2018 from $3.8 million for the nine months ended September 30, 2017. This increase is primarily attributable to an increase in Initial Franchise Fees and New Business Revenue from an increase in operating agencies, an increase in more profitable Renewal Revenue, and an increase in Contingent Commissions, as described above, offset by higher employee compensation and benefits and general and administrative expenses related to investments in hiring and technology.</w:t>
      </w:r>
    </w:p>
    <w:p>
      <w:pPr>
        <w:spacing w:after="0" w:line="98"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Neither of Franchise Channel Adjusted EBITDA or Corporate Channel Adjusted EBITDA includes equity-based compensation, which is recorded at the consolidated level and excluded from the EBITDA calculation.</w:t>
      </w:r>
    </w:p>
    <w:p>
      <w:pPr>
        <w:spacing w:after="0" w:line="3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 performance indicators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key operating metrics are discussed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Written Premium</w:t>
      </w:r>
    </w:p>
    <w:p>
      <w:pPr>
        <w:spacing w:after="0" w:line="137"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Total Written Premium represents for any reported period, the total amount of current (non-cancelled) gross premium that is placed with Goosehead’s portfolio of Carriers. We believe that Total Written Premium is an appropriate measure of operating performance because it reflects growth of our business relative to other insurance agencies.</w:t>
      </w:r>
    </w:p>
    <w:p>
      <w:pPr>
        <w:spacing w:after="0" w:line="9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For the three and nine months ended September 30, 2018, we had $140.3 million and $ 373.9 million in Total Written Premium, respectively, representing a 50% and 48% increase, compared to $93.8 million and $252.0 million for the three and nine months ended September 30, 2017, respectively. The following table shows Total Written Premium by channel for the three and nine months ended and 2018 and 2017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b w:val="1"/>
                <w:bCs w:val="1"/>
                <w:color w:val="auto"/>
              </w:rPr>
              <w:t>Three Months Ended September 30</w:t>
            </w:r>
          </w:p>
        </w:tc>
        <w:tc>
          <w:tcPr>
            <w:tcW w:w="17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 Change</w:t>
            </w:r>
          </w:p>
        </w:tc>
      </w:tr>
      <w:tr>
        <w:trPr>
          <w:trHeight w:val="262"/>
        </w:trPr>
        <w:tc>
          <w:tcPr>
            <w:tcW w:w="5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7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b w:val="1"/>
                <w:bCs w:val="1"/>
                <w:color w:val="auto"/>
              </w:rPr>
              <w:t>2017</w:t>
            </w:r>
          </w:p>
        </w:tc>
        <w:tc>
          <w:tcPr>
            <w:tcW w:w="1760" w:type="dxa"/>
            <w:vAlign w:val="bottom"/>
            <w:tcBorders>
              <w:bottom w:val="single" w:sz="8" w:color="auto"/>
            </w:tcBorders>
          </w:tcPr>
          <w:p>
            <w:pPr>
              <w:spacing w:after="0"/>
              <w:rPr>
                <w:sz w:val="22"/>
                <w:szCs w:val="22"/>
                <w:color w:val="auto"/>
              </w:rPr>
            </w:pPr>
          </w:p>
        </w:tc>
      </w:tr>
      <w:tr>
        <w:trPr>
          <w:trHeight w:val="249"/>
        </w:trPr>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Channel Total Written Premium</w:t>
            </w:r>
          </w:p>
        </w:tc>
        <w:tc>
          <w:tcPr>
            <w:tcW w:w="1180" w:type="dxa"/>
            <w:vAlign w:val="bottom"/>
            <w:tcBorders>
              <w:bottom w:val="single" w:sz="8" w:color="CCEEFF"/>
            </w:tcBorders>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52,575</w:t>
            </w:r>
          </w:p>
        </w:tc>
        <w:tc>
          <w:tcPr>
            <w:tcW w:w="5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39,452</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2"/>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Franchise Channel Total Written Premium</w:t>
            </w:r>
          </w:p>
        </w:tc>
        <w:tc>
          <w:tcPr>
            <w:tcW w:w="1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87,721</w:t>
            </w:r>
          </w:p>
        </w:tc>
        <w:tc>
          <w:tcPr>
            <w:tcW w:w="540" w:type="dxa"/>
            <w:vAlign w:val="bottom"/>
          </w:tcPr>
          <w:p>
            <w:pPr>
              <w:spacing w:after="0"/>
              <w:rPr>
                <w:sz w:val="21"/>
                <w:szCs w:val="21"/>
                <w:color w:val="auto"/>
              </w:rPr>
            </w:pPr>
          </w:p>
        </w:tc>
        <w:tc>
          <w:tcPr>
            <w:tcW w:w="1700" w:type="dxa"/>
            <w:vAlign w:val="bottom"/>
          </w:tcPr>
          <w:p>
            <w:pPr>
              <w:jc w:val="right"/>
              <w:ind w:right="231"/>
              <w:spacing w:after="0"/>
              <w:rPr>
                <w:sz w:val="20"/>
                <w:szCs w:val="20"/>
                <w:color w:val="auto"/>
              </w:rPr>
            </w:pPr>
            <w:r>
              <w:rPr>
                <w:rFonts w:ascii="Arial" w:cs="Arial" w:eastAsia="Arial" w:hAnsi="Arial"/>
                <w:sz w:val="18"/>
                <w:szCs w:val="18"/>
                <w:color w:val="auto"/>
              </w:rPr>
              <w:t>54,384</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7"/>
        </w:trPr>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Written Premium</w:t>
            </w:r>
          </w:p>
        </w:tc>
        <w:tc>
          <w:tcPr>
            <w:tcW w:w="1180" w:type="dxa"/>
            <w:vAlign w:val="bottom"/>
            <w:tcBorders>
              <w:bottom w:val="single" w:sz="8" w:color="CCEEFF"/>
            </w:tcBorders>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140,296</w:t>
            </w:r>
          </w:p>
        </w:tc>
        <w:tc>
          <w:tcPr>
            <w:tcW w:w="5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93,836</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5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Nine Months Ended September</w:t>
            </w:r>
          </w:p>
        </w:tc>
        <w:tc>
          <w:tcPr>
            <w:tcW w:w="100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30</w:t>
            </w:r>
          </w:p>
        </w:tc>
        <w:tc>
          <w:tcPr>
            <w:tcW w:w="17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 Change</w:t>
            </w:r>
          </w:p>
        </w:tc>
      </w:tr>
      <w:tr>
        <w:trPr>
          <w:trHeight w:val="262"/>
        </w:trPr>
        <w:tc>
          <w:tcPr>
            <w:tcW w:w="5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r>
      <w:tr>
        <w:trPr>
          <w:trHeight w:val="255"/>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Channel Total Written Premium</w:t>
            </w:r>
          </w:p>
        </w:tc>
        <w:tc>
          <w:tcPr>
            <w:tcW w:w="116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141,623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8"/>
              </w:rPr>
              <w:t>106,277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2"/>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Franchise Channel Total Written Premium</w:t>
            </w:r>
          </w:p>
        </w:tc>
        <w:tc>
          <w:tcPr>
            <w:tcW w:w="11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232,270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jc w:val="right"/>
              <w:ind w:right="251"/>
              <w:spacing w:after="0"/>
              <w:rPr>
                <w:sz w:val="20"/>
                <w:szCs w:val="20"/>
                <w:color w:val="auto"/>
              </w:rPr>
            </w:pPr>
            <w:r>
              <w:rPr>
                <w:rFonts w:ascii="Arial" w:cs="Arial" w:eastAsia="Arial" w:hAnsi="Arial"/>
                <w:sz w:val="18"/>
                <w:szCs w:val="18"/>
                <w:color w:val="auto"/>
                <w:w w:val="98"/>
              </w:rPr>
              <w:t>145,766</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7"/>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Written Premium</w:t>
            </w:r>
          </w:p>
        </w:tc>
        <w:tc>
          <w:tcPr>
            <w:tcW w:w="1160" w:type="dxa"/>
            <w:vAlign w:val="bottom"/>
            <w:tcBorders>
              <w:bottom w:val="single" w:sz="8" w:color="CCEEFF"/>
            </w:tcBorders>
            <w:shd w:val="clear" w:color="auto" w:fill="CCEEFF"/>
          </w:tcPr>
          <w:p>
            <w:pPr>
              <w:jc w:val="right"/>
              <w:ind w:right="93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373,893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8"/>
              </w:rPr>
              <w:t>252,043</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in Force</w:t>
      </w:r>
    </w:p>
    <w:p>
      <w:pPr>
        <w:spacing w:after="0" w:line="137"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Policies in Force means as of any reported date, the total count of current (non-cancelled) policies placed with Goosehead’s portfolio of Carriers. We believe that Policies in Force is an appropriate measure of operating performance because it reflects growth of our business relative to other insurance agencies.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2018, we had 310 thousand in Policies in Force compared to 228 thousand as of December 31, 2017 and 207 thousand as of September 30, 2017, representing a 36% and 50% increase,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NPS</w:t>
      </w:r>
    </w:p>
    <w:p>
      <w:pPr>
        <w:spacing w:after="0" w:line="137"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Net Promoter Score (NPS) is calculated based on a single question: “How likely are you to refer Goosehead Insurance to a friend, family member or colleague?” Clients that respond with a 6 or below are Detractors,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03" w:right="259" w:bottom="1440" w:gutter="0" w:footer="0" w:header="0"/>
        </w:sectPr>
      </w:pPr>
    </w:p>
    <w:bookmarkStart w:id="29" w:name="page30"/>
    <w:bookmarkEnd w:id="29"/>
    <w:p>
      <w:pPr>
        <w:spacing w:after="0" w:line="254" w:lineRule="auto"/>
        <w:rPr>
          <w:sz w:val="20"/>
          <w:szCs w:val="20"/>
          <w:color w:val="auto"/>
        </w:rPr>
      </w:pPr>
      <w:r>
        <w:rPr>
          <w:rFonts w:ascii="Arial" w:cs="Arial" w:eastAsia="Arial" w:hAnsi="Arial"/>
          <w:sz w:val="18"/>
          <w:szCs w:val="18"/>
          <w:color w:val="auto"/>
        </w:rPr>
        <w:t>score of 7 or 8 are called Passives, and a 9 or 10 are Promoters. NPS is calculated by subtracting the percentage of Detractors from the percentage of Promoters. For example, if 50% of respondents were Promoters and 10% were Detractors, NPS is a 40. NPS is a useful gauge of the loyalty of client relationships and can be compared across companies and industries.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NPS has increased to 88 as of September 30, 2018 from 86 as of December 31, 2017, primarily driven by the service team’s continued focus on delivering highly differentiated service levels.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Retention</w:t>
      </w:r>
    </w:p>
    <w:p>
      <w:pPr>
        <w:spacing w:after="0" w:line="1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Client Retention is calculated by comparing the number of all clients that had at least one policy in force twelve months prior to the date of measurement and still have at least one policy in force at the date of measurement. We believe Client Retention is useful as a measure of how well Goosehead retains clients year-over-year and minimizes defections.</w:t>
      </w:r>
    </w:p>
    <w:p>
      <w:pPr>
        <w:spacing w:after="0" w:line="9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Client Retention has remained steady at 88% at September 30, 2018 from December 31, 2017, again driven by the service team’s continued focus on delivering highly differentiated service levels. For the trailing twelve months ended September 30, 2018, we retained 94% of the premiums we distributed in the trailing twelve months ended September 30, 2017, which remained steady from the 94% premium retention at December 31, 2017. Our premium retention rate is higher than our Client Retention rate as a result of both premiums increasing year over year and additional coverages sold by our sales and service teams.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Business Revenue</w:t>
      </w:r>
    </w:p>
    <w:p>
      <w:pPr>
        <w:spacing w:after="0" w:line="1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New Business Revenue is commissions received from the Carrier, Agency Fees received from clients, and Royalty Fees relating to policies in their first term.</w:t>
      </w:r>
    </w:p>
    <w:p>
      <w:pPr>
        <w:spacing w:after="0" w:line="9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the three months ended September 30, 2018, New Business Revenue grew 61% to $5.5 million, from $3.4 million for the three months ended September 30, 2017. For the nine months ended September 30, 2018, New Business Revenue grew by 60% to $14.3 million, from $9.0 million for the nine months ended September 30, 2017. Growth in New Business Revenue is driven by an increase in Corporate Channel sales agent headcount of 55% and growth in franchises in the Franchise Channel of 59%.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Renewal Revenue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Renewal Revenue is commissions received from the Carrier and Royalty Fees after the first term of a policy.</w:t>
      </w:r>
    </w:p>
    <w:p>
      <w:pPr>
        <w:spacing w:after="0" w:line="11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 the three months ended September 30, 2018, Renewal Revenue grew 33% to $8.3 million, from $6.2 million for the three months ended September 30, 2017. For the nine months ended September 30, 2018, Renewal Revenue grew by 31% to $22.4 million, from $17.0 million for the nine months ended September 30, 2017. Growth in Renewal Revenue was driven by Client Retention of 88% at September 30, 2018. As our agent force matures on both the Corporate Channel and the Franchise Channel, the policies they wrote in prior years begins to convert from New Business Revenue to more profitable Renewal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Adjusted EBITDA is a supplemental measure of our performance. We believe that Adjusted EBITDA is an appropriate measure of operating performance because it eliminates the impact of items that do not relate to business performance. Adjusted EBITDA is defined as net income (the most directly comparable GAAP measure) before interest, income taxes, depreciation and amortization, adjusted to exclude equity-based compensation and other non-operating items, including, among other things, certain non-cash charges and certain non-recurring or non-operating gains or losses.</w:t>
      </w:r>
    </w:p>
    <w:p>
      <w:pPr>
        <w:spacing w:after="0" w:line="20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Adjusted EBITDA increased by $1.0 million, or 42%, to $3.4 million for the three months ended September 30, 2018, from $2.4 million for the three months ended September 30, 2017, driven by Franchise Channel Adjusted EBITDA growth of $0.8 million. Adjusted EBITDA increased by $4.0 million, or 47%, to $12.4 million for the nine months ended September 30, 2018, from $8.4 million for the nine months ended September 30, 2017, driven by Corporate Channel Adjusted EBITDA growth of $1.2 million and Franchise Channel Adjusted EBITDA growth of $3.4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95" w:right="25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Adjusted EBITDA Margin is Adjusted EBITDA as defined above, divided by total revenue excluding other non-operating items. Adjusted EBITDA Margin is helpful in measuring profitability of operations on a consolidated level.</w:t>
      </w:r>
    </w:p>
    <w:p>
      <w:pPr>
        <w:spacing w:after="0" w:line="9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For the three and nine months ended September 30, 2018, Adjusted EBITDA Margin was 21% and 27% compared to 22% and 27% for the three and nine months ended September 30, 2017, primarily driven by Corporate Channel Adjusted EBITDA Margin compression, offset by Franchise Channel Adjusted EBITDA Margin expansion. Corporate Channel Adjusted EBITDA Margin compression can be attributed to increased expenses driven by a 55% increase in Corporate Channel sales agent headcount and investments in technology. As these new sales agents ramp-up production and begin to receive Renewal Revenue (Corporate), we expect them to contribute to future Corporate Channel Adjusted EBITDA Margin expansion. Franchise Channel Adjusted EBITDA Margin expansion is attributed to growth in more profitable Renewal Revenue as a percentage of total revenue and the increase in Contingent Commissions, offset by higher employee compensation and benefits and general and administrative expenses from investments in hiring and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EPS</w:t>
      </w:r>
    </w:p>
    <w:p>
      <w:pPr>
        <w:spacing w:after="0" w:line="2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Adjusted EPS is a supplemental measure of our performance, defined as earnings per share (the most directly comparable GAAP measure) before non-recurring or non-operating income and expenses, adjusted to assume a single class of stock (Class A) and assuming non-controlling interest does not exist. Adjusted EPS is a useful measure to management because it eliminates the impact of items that do not relate to business performance and helps compare companies that may not have a dual-share class 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3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Adjusted EBITDA, Adjusted EBITDA Margin, and Adjusted EPS are not measures of financial performance under GAAP and should not be considered substitutes for net income or earnings per share, which we consider to be the most directly comparable GAAP measure. Adjusted EBITDA, Adjusted EBITDA Margin, and Adjusted EPS have limitations as analytical tools, and when assessing our operating performance, you should not consider Adjusted EBITDA, Adjusted EBITDA Margin, or Adjusted EPS in isolation or as substitutes for net income, earnings per share or other consolidated income statement data prepared in accordance with GAAP. Other companies may calculate Adjusted EBITDA, Adjusted EBITDA Margin, and Adjusted EPS differently than we do, limiting their usefulness as comparative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a reconciliation from net income to Adjusted EBITDA for the three and nine months ended September 30, 2018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8" w:lineRule="exact"/>
        <w:rPr>
          <w:sz w:val="20"/>
          <w:szCs w:val="20"/>
          <w:color w:val="auto"/>
        </w:rPr>
      </w:pPr>
    </w:p>
    <w:tbl>
      <w:tblPr>
        <w:tblLayout w:type="fixed"/>
        <w:tblInd w:w="520" w:type="dxa"/>
        <w:tblCellMar>
          <w:top w:w="0" w:type="dxa"/>
          <w:left w:w="0" w:type="dxa"/>
          <w:bottom w:w="0" w:type="dxa"/>
          <w:right w:w="0" w:type="dxa"/>
        </w:tblCellMar>
      </w:tblPr>
      <w:tr>
        <w:trPr>
          <w:trHeight w:val="245"/>
        </w:trPr>
        <w:tc>
          <w:tcPr>
            <w:tcW w:w="3560" w:type="dxa"/>
            <w:vAlign w:val="bottom"/>
          </w:tcPr>
          <w:p>
            <w:pPr>
              <w:spacing w:after="0"/>
              <w:rPr>
                <w:sz w:val="21"/>
                <w:szCs w:val="21"/>
                <w:color w:val="auto"/>
              </w:rPr>
            </w:pPr>
          </w:p>
        </w:tc>
        <w:tc>
          <w:tcPr>
            <w:tcW w:w="352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1"/>
                <w:szCs w:val="21"/>
                <w:color w:val="auto"/>
              </w:rPr>
            </w:pPr>
          </w:p>
        </w:tc>
        <w:tc>
          <w:tcPr>
            <w:tcW w:w="316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62"/>
        </w:trPr>
        <w:tc>
          <w:tcPr>
            <w:tcW w:w="356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5"/>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(19,269)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62"/>
        </w:trPr>
        <w:tc>
          <w:tcPr>
            <w:tcW w:w="35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2"/>
                <w:szCs w:val="22"/>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w w:val="97"/>
              </w:rPr>
              <w:t>1,631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75"/>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62"/>
        </w:trPr>
        <w:tc>
          <w:tcPr>
            <w:tcW w:w="3560" w:type="dxa"/>
            <w:vAlign w:val="bottom"/>
          </w:tcPr>
          <w:p>
            <w:pPr>
              <w:ind w:left="160"/>
              <w:spacing w:after="0"/>
              <w:rPr>
                <w:sz w:val="20"/>
                <w:szCs w:val="20"/>
                <w:color w:val="auto"/>
              </w:rPr>
            </w:pPr>
            <w:r>
              <w:rPr>
                <w:rFonts w:ascii="Arial" w:cs="Arial" w:eastAsia="Arial" w:hAnsi="Arial"/>
                <w:sz w:val="18"/>
                <w:szCs w:val="18"/>
                <w:color w:val="auto"/>
              </w:rPr>
              <w:t>Tax expense</w:t>
            </w:r>
          </w:p>
        </w:tc>
        <w:tc>
          <w:tcPr>
            <w:tcW w:w="1040" w:type="dxa"/>
            <w:vAlign w:val="bottom"/>
          </w:tcPr>
          <w:p>
            <w:pPr>
              <w:spacing w:after="0"/>
              <w:rPr>
                <w:sz w:val="22"/>
                <w:szCs w:val="22"/>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26,738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62"/>
        </w:trPr>
        <w:tc>
          <w:tcPr>
            <w:tcW w:w="356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22"/>
                <w:szCs w:val="22"/>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55"/>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04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7"/>
              </w:rPr>
              <w:t>3,350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2,354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12,446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1"/>
                <w:szCs w:val="21"/>
                <w:color w:val="auto"/>
                <w:vertAlign w:val="superscript"/>
              </w:rPr>
              <w:t>(1)</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5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80" w:right="520" w:hanging="6"/>
        <w:spacing w:after="0" w:line="255" w:lineRule="auto"/>
        <w:tabs>
          <w:tab w:leader="none" w:pos="1195"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Total Revenue ($3,350/$16,054) and ($2,354/$10,807) for the three months ended September 30, 2018 and 2017 and ($12,446/$45,431) and ($8,445/$31,576) for the nine months ended September 30, 2018 and 2017.</w:t>
      </w:r>
    </w:p>
    <w:p>
      <w:pPr>
        <w:spacing w:after="0" w:line="3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tables show a reconciliation from basic earnings per share to Adjusted EPS for the three and nine months ended September 30, 2018. Note that totals may not sum due to rounding: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03"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9700" w:type="dxa"/>
            <w:vAlign w:val="bottom"/>
          </w:tcPr>
          <w:p>
            <w:pPr>
              <w:ind w:left="40"/>
              <w:spacing w:after="0"/>
              <w:rPr>
                <w:sz w:val="20"/>
                <w:szCs w:val="20"/>
                <w:color w:val="auto"/>
              </w:rPr>
            </w:pPr>
            <w:r>
              <w:rPr>
                <w:rFonts w:ascii="Arial" w:cs="Arial" w:eastAsia="Arial" w:hAnsi="Arial"/>
                <w:sz w:val="18"/>
                <w:szCs w:val="18"/>
                <w:color w:val="auto"/>
              </w:rPr>
              <w:t>Three months ended September 30, 2018</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5"/>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 basic (GAAP)</w:t>
            </w:r>
          </w:p>
        </w:tc>
        <w:tc>
          <w:tcPr>
            <w:tcW w:w="6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r>
        <w:trPr>
          <w:trHeight w:val="269"/>
        </w:trPr>
        <w:tc>
          <w:tcPr>
            <w:tcW w:w="9700" w:type="dxa"/>
            <w:vAlign w:val="bottom"/>
          </w:tcPr>
          <w:p>
            <w:pPr>
              <w:ind w:left="160"/>
              <w:spacing w:after="0"/>
              <w:rPr>
                <w:sz w:val="20"/>
                <w:szCs w:val="20"/>
                <w:color w:val="auto"/>
              </w:rPr>
            </w:pPr>
            <w:r>
              <w:rPr>
                <w:rFonts w:ascii="Arial" w:cs="Arial" w:eastAsia="Arial" w:hAnsi="Arial"/>
                <w:sz w:val="18"/>
                <w:szCs w:val="18"/>
                <w:color w:val="auto"/>
              </w:rPr>
              <w:t>Add: origination fees from previous debt immediately recognized upon refinance</w:t>
            </w:r>
            <w:r>
              <w:rPr>
                <w:rFonts w:ascii="Arial" w:cs="Arial" w:eastAsia="Arial" w:hAnsi="Arial"/>
                <w:sz w:val="21"/>
                <w:szCs w:val="21"/>
                <w:color w:val="auto"/>
                <w:vertAlign w:val="superscript"/>
              </w:rPr>
              <w:t>(1)</w:t>
            </w:r>
          </w:p>
        </w:tc>
        <w:tc>
          <w:tcPr>
            <w:tcW w:w="66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0.02</w:t>
            </w:r>
          </w:p>
        </w:tc>
      </w:tr>
      <w:tr>
        <w:trPr>
          <w:trHeight w:val="269"/>
        </w:trPr>
        <w:tc>
          <w:tcPr>
            <w:tcW w:w="9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equity-based compensation</w:t>
            </w:r>
            <w:r>
              <w:rPr>
                <w:rFonts w:ascii="Arial" w:cs="Arial" w:eastAsia="Arial" w:hAnsi="Arial"/>
                <w:sz w:val="21"/>
                <w:szCs w:val="21"/>
                <w:color w:val="auto"/>
                <w:vertAlign w:val="superscript"/>
              </w:rPr>
              <w:t>(2)</w:t>
            </w: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69"/>
        </w:trPr>
        <w:tc>
          <w:tcPr>
            <w:tcW w:w="9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Estimated taxes assuming Class B shares were fully converted to Class A</w:t>
            </w:r>
            <w:r>
              <w:rPr>
                <w:rFonts w:ascii="Arial" w:cs="Arial" w:eastAsia="Arial" w:hAnsi="Arial"/>
                <w:sz w:val="21"/>
                <w:szCs w:val="21"/>
                <w:color w:val="auto"/>
                <w:vertAlign w:val="superscript"/>
              </w:rPr>
              <w:t>(3)</w:t>
            </w:r>
          </w:p>
        </w:tc>
        <w:tc>
          <w:tcPr>
            <w:tcW w:w="6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9"/>
        </w:trPr>
        <w:tc>
          <w:tcPr>
            <w:tcW w:w="9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EPS (non-GAAP)</w:t>
            </w: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r>
    </w:tbl>
    <w:p>
      <w:pPr>
        <w:spacing w:after="0" w:line="5" w:lineRule="exact"/>
        <w:rPr>
          <w:sz w:val="20"/>
          <w:szCs w:val="20"/>
          <w:color w:val="auto"/>
        </w:rPr>
      </w:pPr>
    </w:p>
    <w:p>
      <w:pPr>
        <w:ind w:right="100" w:firstLine="7"/>
        <w:spacing w:after="0"/>
        <w:tabs>
          <w:tab w:leader="none" w:pos="215"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as the origination fees of previous debt immediately recognized upon refinance divided by sum of Class A and Class B shares [ $871 thousand / ( 13.5 million + 22.7 million )]</w:t>
      </w:r>
    </w:p>
    <w:p>
      <w:pPr>
        <w:ind w:left="220" w:hanging="213"/>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as equity-based compensation divided by sum of Class A and Class B shares [ $345 thousand / ( 13.5 million + 22.7 million )]</w:t>
      </w:r>
    </w:p>
    <w:p>
      <w:pPr>
        <w:ind w:right="60" w:firstLine="7"/>
        <w:spacing w:after="0" w:line="248" w:lineRule="auto"/>
        <w:tabs>
          <w:tab w:leader="none" w:pos="215"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as net income attributable to non-controlling interests, excluding taxes directly attributable to non-controlling interest, times the federal income tax rate, divided by the weighted average Class B shares for the period [( $627 thousand * 21.0% ) / 22.7 million ]. Not included in calculation are the effects of the conversion per the Tax Receivable Agreement or pre-IPO taxes attributable to non-controlling interests.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00" w:type="dxa"/>
            <w:vAlign w:val="bottom"/>
          </w:tcPr>
          <w:p>
            <w:pPr>
              <w:ind w:left="40"/>
              <w:spacing w:after="0"/>
              <w:rPr>
                <w:sz w:val="20"/>
                <w:szCs w:val="20"/>
                <w:color w:val="auto"/>
              </w:rPr>
            </w:pPr>
            <w:r>
              <w:rPr>
                <w:rFonts w:ascii="Arial" w:cs="Arial" w:eastAsia="Arial" w:hAnsi="Arial"/>
                <w:sz w:val="18"/>
                <w:szCs w:val="18"/>
                <w:color w:val="auto"/>
              </w:rPr>
              <w:t>Nine months ended September 30, 2018</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5"/>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 basic (GAAP)</w:t>
            </w:r>
          </w:p>
        </w:tc>
        <w:tc>
          <w:tcPr>
            <w:tcW w:w="6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69"/>
        </w:trPr>
        <w:tc>
          <w:tcPr>
            <w:tcW w:w="9700" w:type="dxa"/>
            <w:vAlign w:val="bottom"/>
          </w:tcPr>
          <w:p>
            <w:pPr>
              <w:ind w:left="160"/>
              <w:spacing w:after="0"/>
              <w:rPr>
                <w:sz w:val="20"/>
                <w:szCs w:val="20"/>
                <w:color w:val="auto"/>
              </w:rPr>
            </w:pPr>
            <w:r>
              <w:rPr>
                <w:rFonts w:ascii="Arial" w:cs="Arial" w:eastAsia="Arial" w:hAnsi="Arial"/>
                <w:sz w:val="18"/>
                <w:szCs w:val="18"/>
                <w:color w:val="auto"/>
              </w:rPr>
              <w:t>Add: income prior to the Reorganization Transactions</w:t>
            </w:r>
            <w:r>
              <w:rPr>
                <w:rFonts w:ascii="Arial" w:cs="Arial" w:eastAsia="Arial" w:hAnsi="Arial"/>
                <w:sz w:val="21"/>
                <w:szCs w:val="21"/>
                <w:color w:val="auto"/>
                <w:vertAlign w:val="superscript"/>
              </w:rPr>
              <w:t>(4)</w:t>
            </w:r>
          </w:p>
        </w:tc>
        <w:tc>
          <w:tcPr>
            <w:tcW w:w="66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0.12</w:t>
            </w:r>
          </w:p>
        </w:tc>
      </w:tr>
      <w:tr>
        <w:trPr>
          <w:trHeight w:val="269"/>
        </w:trPr>
        <w:tc>
          <w:tcPr>
            <w:tcW w:w="9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estimated controlling interest taxes on income prior to Reorganization Transactions</w:t>
            </w:r>
            <w:r>
              <w:rPr>
                <w:rFonts w:ascii="Arial" w:cs="Arial" w:eastAsia="Arial" w:hAnsi="Arial"/>
                <w:sz w:val="21"/>
                <w:szCs w:val="21"/>
                <w:color w:val="auto"/>
                <w:vertAlign w:val="superscript"/>
              </w:rPr>
              <w:t>(5)</w:t>
            </w: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69"/>
        </w:trPr>
        <w:tc>
          <w:tcPr>
            <w:tcW w:w="9700" w:type="dxa"/>
            <w:vAlign w:val="bottom"/>
          </w:tcPr>
          <w:p>
            <w:pPr>
              <w:ind w:left="160"/>
              <w:spacing w:after="0"/>
              <w:rPr>
                <w:sz w:val="20"/>
                <w:szCs w:val="20"/>
                <w:color w:val="auto"/>
              </w:rPr>
            </w:pPr>
            <w:r>
              <w:rPr>
                <w:rFonts w:ascii="Arial" w:cs="Arial" w:eastAsia="Arial" w:hAnsi="Arial"/>
                <w:sz w:val="18"/>
                <w:szCs w:val="18"/>
                <w:color w:val="auto"/>
              </w:rPr>
              <w:t>Add: origination fees from previous debt immediately recognized upon refinance</w:t>
            </w:r>
            <w:r>
              <w:rPr>
                <w:rFonts w:ascii="Arial" w:cs="Arial" w:eastAsia="Arial" w:hAnsi="Arial"/>
                <w:sz w:val="21"/>
                <w:szCs w:val="21"/>
                <w:color w:val="auto"/>
                <w:vertAlign w:val="superscript"/>
              </w:rPr>
              <w:t>(5)</w:t>
            </w:r>
          </w:p>
        </w:tc>
        <w:tc>
          <w:tcPr>
            <w:tcW w:w="66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0.02</w:t>
            </w:r>
          </w:p>
        </w:tc>
      </w:tr>
      <w:tr>
        <w:trPr>
          <w:trHeight w:val="269"/>
        </w:trPr>
        <w:tc>
          <w:tcPr>
            <w:tcW w:w="9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equity-based compensation</w:t>
            </w:r>
            <w:r>
              <w:rPr>
                <w:rFonts w:ascii="Arial" w:cs="Arial" w:eastAsia="Arial" w:hAnsi="Arial"/>
                <w:sz w:val="21"/>
                <w:szCs w:val="21"/>
                <w:color w:val="auto"/>
                <w:vertAlign w:val="superscript"/>
              </w:rPr>
              <w:t>(6)</w:t>
            </w: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r>
      <w:tr>
        <w:trPr>
          <w:trHeight w:val="269"/>
        </w:trPr>
        <w:tc>
          <w:tcPr>
            <w:tcW w:w="9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Estimated taxes assuming Class B shares were fully converted to Class A</w:t>
            </w:r>
            <w:r>
              <w:rPr>
                <w:rFonts w:ascii="Arial" w:cs="Arial" w:eastAsia="Arial" w:hAnsi="Arial"/>
                <w:sz w:val="21"/>
                <w:szCs w:val="21"/>
                <w:color w:val="auto"/>
                <w:vertAlign w:val="superscript"/>
              </w:rPr>
              <w:t>(7)</w:t>
            </w:r>
          </w:p>
        </w:tc>
        <w:tc>
          <w:tcPr>
            <w:tcW w:w="6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9"/>
        </w:trPr>
        <w:tc>
          <w:tcPr>
            <w:tcW w:w="9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EPS (non-GAAP)</w:t>
            </w:r>
          </w:p>
        </w:tc>
        <w:tc>
          <w:tcPr>
            <w:tcW w:w="6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bl>
    <w:p>
      <w:pPr>
        <w:spacing w:after="0" w:line="5" w:lineRule="exact"/>
        <w:rPr>
          <w:sz w:val="20"/>
          <w:szCs w:val="20"/>
          <w:color w:val="auto"/>
        </w:rPr>
      </w:pPr>
    </w:p>
    <w:p>
      <w:pPr>
        <w:ind w:left="220" w:hanging="213"/>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as the income prior to the Reorganization Transactions divided by the sum of Class A and Class B shares [ $4.4 million / ( 13.5 million + 22.7 million )</w:t>
      </w:r>
    </w:p>
    <w:p>
      <w:pPr>
        <w:ind w:right="280" w:firstLine="7"/>
        <w:spacing w:after="0"/>
        <w:tabs>
          <w:tab w:leader="none" w:pos="215"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as the income prior to the Reorganization Transactions, times the controlling interest percentage at the time of IPO, times the assumed effective tax rate of 25%, divided by the count of Class A shares at the time of the IPO [ $4.4 million * 37.3% * 25% / 13.5 million ]. Income taxes attributable to non-controlling interests are included in (8) below.</w:t>
      </w:r>
    </w:p>
    <w:p>
      <w:pPr>
        <w:ind w:right="100" w:firstLine="7"/>
        <w:spacing w:after="0"/>
        <w:tabs>
          <w:tab w:leader="none" w:pos="215"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as the origination fees of previous debt immediately recognized upon refinance divided by sum of Class A and Class B shares [ $871 thousand / ( 13.5 million + 22.7 million )]</w:t>
      </w:r>
    </w:p>
    <w:p>
      <w:pPr>
        <w:ind w:left="220" w:hanging="213"/>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as equity-based compensation divided by the sum of Class A and Class B shares [ $26.7 million / ( 13.5 million + 22.7 million )]</w:t>
      </w:r>
    </w:p>
    <w:p>
      <w:pPr>
        <w:ind w:right="160" w:firstLine="7"/>
        <w:spacing w:after="0" w:line="248" w:lineRule="auto"/>
        <w:tabs>
          <w:tab w:leader="none" w:pos="215"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as net loss attributable to non-controlling interests, excluding taxes directly attributable to non-controlling interest, times the effective tax rate of controlling interests, divided by the weighted average Class B shares for the period [( $(10.2) million * (1.4)% ) / 22.7 million ]. Not included in calculation are the effects of the conversion per the Tax Receivable Agreement or pre-IPO taxes attributable to non-controlling interests.</w:t>
      </w: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managed our historical liquidity and capital requirements primarily through the receipt of revenues from our Corporate Channel and our Franchise Channel. Our primary cash flow activities involve: (1) generating cash flow from Corporate Channel operations, which largely includes New Business Revenue (Corporate) and Renewal Revenue (Corporate); (2) generating cash flow from Franchise Channel operations, which largely includes Initial Franchise Fees and Royalty Fees; and (3) borrowings, interest payments and repayments under our Credit Agreement. As of September 30, 2018, our cash and cash equivalents balance was $18.1 million. We have used cash flow from operations primarily to pay compensation and related expenses, general, administrative and other expenses, debt service and distributions to our owners.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Credit agreement</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On October 27, 2016, Goosehead Insurance Holdings, LLC, as borrower representative, entered into a credit agreement (as subsequently amended, the “Credit Agreement”) with Madison Capital Funding LLC, as agent, and the lenders party thereto, consisting of a $3,000,000 revolving credit facility (the “Revolving Credit Facility”) and $30,000,000 term loan (the “Initial Term Loan”) used to pay off existing debt and fund a distribution to members. On July 14, 2017, Goosehead Insurance Holdings, LLC and the other loan parties entered into the first amendment to the Credit Agreement pursuant to which Goosehead Insurance Holdings, LLC borrowed an additional $10,000,000 term loan (the “First Additional Term Loan”) used to fund a distribution to members. On December 20, 2017, the Company executed the second amendment to the Credit Agreement to borrow an additional $ 10,000,000 term loan (together with the Initial Term Loan and the First Additional Term Loan, the “Term Loans”) for payment of a dividend to shareholders and to extend the maturity date of the Term Loans by one year. On April 4, 2018, Goosehead Insurance Holdings, LLC and the other loan parties amended and restated the Credit Agreement to permit the reorganization transactions in connection with the Offering.</w:t>
      </w:r>
    </w:p>
    <w:p>
      <w:pPr>
        <w:spacing w:after="0" w:line="207" w:lineRule="exact"/>
        <w:rPr>
          <w:sz w:val="20"/>
          <w:szCs w:val="20"/>
          <w:color w:val="auto"/>
        </w:rPr>
      </w:pPr>
    </w:p>
    <w:p>
      <w:pPr>
        <w:ind w:right="2440"/>
        <w:spacing w:after="0" w:line="263" w:lineRule="auto"/>
        <w:rPr>
          <w:sz w:val="20"/>
          <w:szCs w:val="20"/>
          <w:color w:val="auto"/>
        </w:rPr>
      </w:pPr>
      <w:r>
        <w:rPr>
          <w:rFonts w:ascii="Arial" w:cs="Arial" w:eastAsia="Arial" w:hAnsi="Arial"/>
          <w:sz w:val="17"/>
          <w:szCs w:val="17"/>
          <w:color w:val="auto"/>
        </w:rPr>
        <w:t>On August 3, 2018, Goosehead Insurance Holdings, LLC, as borrower, entered into a credit agreement (the “New Credit Agreement”) with JPMorgan Chase Bank, N.A., as agent, and the lenders party thereto, consisting of a $13,000,000 revolving credit facility (the “New Revolving Credit Facility”) and $40,000,000 term loan (the “New</w:t>
      </w:r>
    </w:p>
    <w:p>
      <w:pPr>
        <w:spacing w:after="0" w:line="2"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Term Loan”) used to refinance the Credit Agreement, working capital needs and general corporate purposes. The Company has the right, subject to approval by the administrative agent and each issuing bank, to increase the commitments under the credit facilities an additional $50.0 million.</w:t>
      </w:r>
    </w:p>
    <w:p>
      <w:pPr>
        <w:spacing w:after="0" w:line="9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Interest on amounts drawn under the New Revolving Credit Facility is calculated initially at LIBOR plus 2.5%, then at an interest rate determined by the Company's leverage ratio for the preceding period. At September 30, 2018, the Company had $10.0 million drawn and letter of credit of $500,000 applied against the maximum borrowing availability under the Revolving Credit Facility, thus amounts available to draw totaled $2,500,000. The New Revolving Credit Facility is collateralized by substantially all the Company’s assets, which includes rights to future commissions.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New Term Loan is calculated initially at LIBOR plus 2.5%, then at an interest rate determined by the</w:t>
      </w:r>
    </w:p>
    <w:p>
      <w:pPr>
        <w:spacing w:after="0" w:line="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Company’s leverage ratio for the preceding period. The aggregate principal amount of the New Term Loans are payable in quarterly installments of (x) $500,000 from the fiscal quarter ending December 31, 2018 through the fiscal quarter ending June 30, 2019, (y) $750,000 from the fiscal quarter ending September 30, 2019 through the fiscal quarter ending June 30, 2020 and (z) $ 1,250,000 from the fiscal quarter ending September 30, 2020 through the fiscal quarter ending June 30, 2021, with a balloon payment of the entire unpaid principal amount of the New Term Loans on August 3, 2021. The New Term Loans are collateralized by substantially all the Company’s assets, which includes rights to future commissions.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The interest rate for each leverage ratio tier are as follows:</w:t>
            </w:r>
          </w:p>
        </w:tc>
        <w:tc>
          <w:tcPr>
            <w:tcW w:w="2280" w:type="dxa"/>
            <w:vAlign w:val="bottom"/>
          </w:tcPr>
          <w:p>
            <w:pPr>
              <w:spacing w:after="0"/>
              <w:rPr>
                <w:sz w:val="18"/>
                <w:szCs w:val="18"/>
                <w:color w:val="auto"/>
              </w:rPr>
            </w:pPr>
          </w:p>
        </w:tc>
      </w:tr>
      <w:tr>
        <w:trPr>
          <w:trHeight w:val="490"/>
        </w:trPr>
        <w:tc>
          <w:tcPr>
            <w:tcW w:w="348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Leverage Ratio</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Interest Rate</w:t>
            </w:r>
          </w:p>
        </w:tc>
      </w:tr>
      <w:tr>
        <w:trPr>
          <w:trHeight w:val="255"/>
        </w:trPr>
        <w:tc>
          <w:tcPr>
            <w:tcW w:w="3480" w:type="dxa"/>
            <w:vAlign w:val="bottom"/>
          </w:tcPr>
          <w:p>
            <w:pPr>
              <w:spacing w:after="0"/>
              <w:rPr>
                <w:sz w:val="22"/>
                <w:szCs w:val="22"/>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&lt; 1.50x</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LIBOR + 175.0 bps</w:t>
            </w:r>
          </w:p>
        </w:tc>
      </w:tr>
      <w:tr>
        <w:trPr>
          <w:trHeight w:val="249"/>
        </w:trPr>
        <w:tc>
          <w:tcPr>
            <w:tcW w:w="34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&gt; 1.50x</w:t>
            </w:r>
          </w:p>
        </w:tc>
        <w:tc>
          <w:tcPr>
            <w:tcW w:w="2280" w:type="dxa"/>
            <w:vAlign w:val="bottom"/>
          </w:tcPr>
          <w:p>
            <w:pPr>
              <w:jc w:val="center"/>
              <w:spacing w:after="0"/>
              <w:rPr>
                <w:sz w:val="20"/>
                <w:szCs w:val="20"/>
                <w:color w:val="auto"/>
              </w:rPr>
            </w:pPr>
            <w:r>
              <w:rPr>
                <w:rFonts w:ascii="Arial" w:cs="Arial" w:eastAsia="Arial" w:hAnsi="Arial"/>
                <w:sz w:val="18"/>
                <w:szCs w:val="18"/>
                <w:color w:val="auto"/>
              </w:rPr>
              <w:t>LIBOR + 200.0 bps</w:t>
            </w:r>
          </w:p>
        </w:tc>
      </w:tr>
      <w:tr>
        <w:trPr>
          <w:trHeight w:val="262"/>
        </w:trPr>
        <w:tc>
          <w:tcPr>
            <w:tcW w:w="3480" w:type="dxa"/>
            <w:vAlign w:val="bottom"/>
          </w:tcPr>
          <w:p>
            <w:pPr>
              <w:spacing w:after="0"/>
              <w:rPr>
                <w:sz w:val="22"/>
                <w:szCs w:val="22"/>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&gt; 2.50x</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LIBOR + 225.0 bps</w:t>
            </w:r>
          </w:p>
        </w:tc>
      </w:tr>
      <w:tr>
        <w:trPr>
          <w:trHeight w:val="242"/>
        </w:trPr>
        <w:tc>
          <w:tcPr>
            <w:tcW w:w="34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&gt; 3.50x</w:t>
            </w:r>
          </w:p>
        </w:tc>
        <w:tc>
          <w:tcPr>
            <w:tcW w:w="2280" w:type="dxa"/>
            <w:vAlign w:val="bottom"/>
          </w:tcPr>
          <w:p>
            <w:pPr>
              <w:jc w:val="center"/>
              <w:spacing w:after="0"/>
              <w:rPr>
                <w:sz w:val="20"/>
                <w:szCs w:val="20"/>
                <w:color w:val="auto"/>
              </w:rPr>
            </w:pPr>
            <w:r>
              <w:rPr>
                <w:rFonts w:ascii="Arial" w:cs="Arial" w:eastAsia="Arial" w:hAnsi="Arial"/>
                <w:sz w:val="18"/>
                <w:szCs w:val="18"/>
                <w:color w:val="auto"/>
              </w:rPr>
              <w:t>LIBOR + 250.0 bps</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Maturities of note payable for the next four calendar years as of September 30, 2018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6" w:lineRule="exact"/>
        <w:rPr>
          <w:sz w:val="20"/>
          <w:szCs w:val="20"/>
          <w:color w:val="auto"/>
        </w:rPr>
      </w:pPr>
    </w:p>
    <w:tbl>
      <w:tblPr>
        <w:tblLayout w:type="fixed"/>
        <w:tblInd w:w="2780" w:type="dxa"/>
        <w:tblCellMar>
          <w:top w:w="0" w:type="dxa"/>
          <w:left w:w="0" w:type="dxa"/>
          <w:bottom w:w="0" w:type="dxa"/>
          <w:right w:w="0" w:type="dxa"/>
        </w:tblCellMar>
      </w:tblPr>
      <w:tr>
        <w:trPr>
          <w:trHeight w:val="245"/>
        </w:trPr>
        <w:tc>
          <w:tcPr>
            <w:tcW w:w="16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55"/>
        </w:trPr>
        <w:tc>
          <w:tcPr>
            <w:tcW w:w="1620" w:type="dxa"/>
            <w:vAlign w:val="bottom"/>
            <w:shd w:val="clear" w:color="auto" w:fill="CCEEFF"/>
          </w:tcPr>
          <w:p>
            <w:pPr>
              <w:jc w:val="right"/>
              <w:ind w:right="1111"/>
              <w:spacing w:after="0"/>
              <w:rPr>
                <w:sz w:val="20"/>
                <w:szCs w:val="20"/>
                <w:color w:val="auto"/>
              </w:rPr>
            </w:pPr>
            <w:r>
              <w:rPr>
                <w:rFonts w:ascii="Arial" w:cs="Arial" w:eastAsia="Arial" w:hAnsi="Arial"/>
                <w:sz w:val="18"/>
                <w:szCs w:val="18"/>
                <w:color w:val="auto"/>
                <w:w w:val="99"/>
              </w:rPr>
              <w:t>2018</w:t>
            </w:r>
          </w:p>
        </w:tc>
        <w:tc>
          <w:tcPr>
            <w:tcW w:w="2460" w:type="dxa"/>
            <w:vAlign w:val="bottom"/>
            <w:gridSpan w:val="2"/>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9"/>
        </w:trPr>
        <w:tc>
          <w:tcPr>
            <w:tcW w:w="1620" w:type="dxa"/>
            <w:vAlign w:val="bottom"/>
          </w:tcPr>
          <w:p>
            <w:pPr>
              <w:jc w:val="right"/>
              <w:ind w:right="1111"/>
              <w:spacing w:after="0"/>
              <w:rPr>
                <w:sz w:val="20"/>
                <w:szCs w:val="20"/>
                <w:color w:val="auto"/>
              </w:rPr>
            </w:pPr>
            <w:r>
              <w:rPr>
                <w:rFonts w:ascii="Arial" w:cs="Arial" w:eastAsia="Arial" w:hAnsi="Arial"/>
                <w:sz w:val="18"/>
                <w:szCs w:val="18"/>
                <w:color w:val="auto"/>
                <w:w w:val="99"/>
              </w:rPr>
              <w:t>2019</w:t>
            </w: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62"/>
        </w:trPr>
        <w:tc>
          <w:tcPr>
            <w:tcW w:w="1620" w:type="dxa"/>
            <w:vAlign w:val="bottom"/>
            <w:shd w:val="clear" w:color="auto" w:fill="CCEEFF"/>
          </w:tcPr>
          <w:p>
            <w:pPr>
              <w:jc w:val="right"/>
              <w:ind w:right="1111"/>
              <w:spacing w:after="0"/>
              <w:rPr>
                <w:sz w:val="20"/>
                <w:szCs w:val="20"/>
                <w:color w:val="auto"/>
              </w:rPr>
            </w:pPr>
            <w:r>
              <w:rPr>
                <w:rFonts w:ascii="Arial" w:cs="Arial" w:eastAsia="Arial" w:hAnsi="Arial"/>
                <w:sz w:val="18"/>
                <w:szCs w:val="18"/>
                <w:color w:val="auto"/>
                <w:w w:val="99"/>
              </w:rPr>
              <w:t>2020</w:t>
            </w:r>
          </w:p>
        </w:tc>
        <w:tc>
          <w:tcPr>
            <w:tcW w:w="1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9"/>
        </w:trPr>
        <w:tc>
          <w:tcPr>
            <w:tcW w:w="1620" w:type="dxa"/>
            <w:vAlign w:val="bottom"/>
            <w:tcBorders>
              <w:bottom w:val="single" w:sz="8" w:color="CCEEFF"/>
            </w:tcBorders>
          </w:tcPr>
          <w:p>
            <w:pPr>
              <w:jc w:val="right"/>
              <w:ind w:right="1111"/>
              <w:spacing w:after="0"/>
              <w:rPr>
                <w:sz w:val="20"/>
                <w:szCs w:val="20"/>
                <w:color w:val="auto"/>
              </w:rPr>
            </w:pPr>
            <w:r>
              <w:rPr>
                <w:rFonts w:ascii="Arial" w:cs="Arial" w:eastAsia="Arial" w:hAnsi="Arial"/>
                <w:sz w:val="18"/>
                <w:szCs w:val="18"/>
                <w:color w:val="auto"/>
                <w:w w:val="99"/>
              </w:rPr>
              <w:t>2021</w:t>
            </w:r>
          </w:p>
        </w:tc>
        <w:tc>
          <w:tcPr>
            <w:tcW w:w="12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w:t>
            </w:r>
          </w:p>
        </w:tc>
      </w:tr>
      <w:tr>
        <w:trPr>
          <w:trHeight w:val="249"/>
        </w:trPr>
        <w:tc>
          <w:tcPr>
            <w:tcW w:w="1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39,500</w:t>
            </w:r>
          </w:p>
        </w:tc>
      </w:tr>
      <w:tr>
        <w:trPr>
          <w:trHeight w:val="20"/>
        </w:trPr>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444"/>
        </w:trPr>
        <w:tc>
          <w:tcPr>
            <w:tcW w:w="1620" w:type="dxa"/>
            <w:vAlign w:val="bottom"/>
          </w:tcPr>
          <w:p>
            <w:pPr>
              <w:spacing w:after="0"/>
              <w:rPr>
                <w:sz w:val="24"/>
                <w:szCs w:val="24"/>
                <w:color w:val="auto"/>
              </w:rPr>
            </w:pPr>
          </w:p>
        </w:tc>
        <w:tc>
          <w:tcPr>
            <w:tcW w:w="2460" w:type="dxa"/>
            <w:vAlign w:val="bottom"/>
            <w:gridSpan w:val="2"/>
          </w:tcPr>
          <w:p>
            <w:pPr>
              <w:jc w:val="right"/>
              <w:ind w:right="951"/>
              <w:spacing w:after="0"/>
              <w:rPr>
                <w:sz w:val="20"/>
                <w:szCs w:val="20"/>
                <w:color w:val="auto"/>
              </w:rPr>
            </w:pPr>
            <w:r>
              <w:rPr>
                <w:rFonts w:ascii="Arial" w:cs="Arial" w:eastAsia="Arial" w:hAnsi="Arial"/>
                <w:sz w:val="18"/>
                <w:szCs w:val="18"/>
                <w:color w:val="auto"/>
              </w:rPr>
              <w:t>33</w:t>
            </w:r>
          </w:p>
        </w:tc>
        <w:tc>
          <w:tcPr>
            <w:tcW w:w="180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33" w:name="page34"/>
    <w:bookmarkEnd w:id="33"/>
    <w:p>
      <w:pPr>
        <w:ind w:right="100"/>
        <w:spacing w:after="0" w:line="252" w:lineRule="auto"/>
        <w:rPr>
          <w:sz w:val="20"/>
          <w:szCs w:val="20"/>
          <w:color w:val="auto"/>
        </w:rPr>
      </w:pPr>
      <w:r>
        <w:rPr>
          <w:rFonts w:ascii="Arial" w:cs="Arial" w:eastAsia="Arial" w:hAnsi="Arial"/>
          <w:sz w:val="18"/>
          <w:szCs w:val="18"/>
          <w:color w:val="auto"/>
        </w:rPr>
        <w:t>Loan origination fees of $606 thousand at September 30, 2018 are reflected as a reduction to the note balance and will be amortized through interest expense over three years (the term of the note payable). The amortization of these loan origination fees is included in interest expense. As part of the refinancing, $871 thousand of origination fees from previous debt were immediately recognized as interest expense in the third quarter of 2018.</w:t>
      </w:r>
    </w:p>
    <w:p>
      <w:pPr>
        <w:spacing w:after="0" w:line="312"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New Credit Agreement contains covenants that, among other things, restrict our ability to make certain restricted payments (including a covenant that restricts Goosehead Financial, LLC’s ability to make dividends or other distributions to Goosehead Insurance, Inc.), incur additional debt, engage in certain asset sales, mergers, acquisitions or similar transactions, create liens on assets, engage in certain transactions with affiliates, change our business or make investments. We may voluntarily prepay in whole or in part the outstanding principal under our New Term Loans at any time prior to the maturity date. In addition, the New Credit Agreement contains financial covenants requiring us to maintain our fixed charge coverage ratio at or above 1.20 to 1.00 and total debt to EBITDA (as defined in the New Credit Agreement) ratio at or below 4.50 to 1.0 (with a step down to 4.00 to 1.00 with respect to any fiscal quarter ending on or after September 30, 2019). Pursuant to the New Credit Agreement, a change of control default will be triggered when (x) any person or group other than Mark Jones and Robyn Jones or their controlled investment affiliates becomes the beneficial owner, directly or indirectly, of more than 50% of the aggregate ordinary voting power represented by our outstanding equity interests, unless Mark Jones and Robyn Jones or their controlled investment affiliates have the ability to elect or designate for election at least a majority of our board of directors or (y) Goosehead Insurance, Inc. ceases to directly own at least 35% of Goosehead Financial, LLC or Goosehead Insurance, Inc. ceases to be the managing member of Goosehead Financial, LLC. Such a default could result in the acceleration of repayment of our and our subsidiaries’ indebtedness, including borrowings under the New Revolving Credit Facility if not waived by the lenders under the New Credit Agreement. The failure by Mark Jones and Robyn Jones to maintain either a minimum voting interest in us or the ability to elect or designate for election at least a majority of our board of directors could trigger a change of control default under our New Credit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 was in compliance with these covenants.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cash flows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our cash flows from operating, investing and financing activities for the periods indicated </w:t>
      </w:r>
      <w:r>
        <w:rPr>
          <w:rFonts w:ascii="Arial" w:cs="Arial" w:eastAsia="Arial" w:hAnsi="Arial"/>
          <w:sz w:val="18"/>
          <w:szCs w:val="18"/>
          <w:i w:val="1"/>
          <w:i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3420" w:type="dxa"/>
            <w:vAlign w:val="bottom"/>
            <w:gridSpan w:val="5"/>
          </w:tcPr>
          <w:p>
            <w:pPr>
              <w:jc w:val="right"/>
              <w:ind w:right="131"/>
              <w:spacing w:after="0"/>
              <w:rPr>
                <w:sz w:val="20"/>
                <w:szCs w:val="20"/>
                <w:color w:val="auto"/>
              </w:rPr>
            </w:pPr>
            <w:r>
              <w:rPr>
                <w:rFonts w:ascii="Arial" w:cs="Arial" w:eastAsia="Arial" w:hAnsi="Arial"/>
                <w:sz w:val="18"/>
                <w:szCs w:val="18"/>
                <w:b w:val="1"/>
                <w:bCs w:val="1"/>
                <w:color w:val="auto"/>
              </w:rPr>
              <w:t>Nine months ended September 30,</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5"/>
        </w:trPr>
        <w:tc>
          <w:tcPr>
            <w:tcW w:w="638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Change</w:t>
            </w:r>
          </w:p>
        </w:tc>
      </w:tr>
      <w:tr>
        <w:trPr>
          <w:trHeight w:val="255"/>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12,076</w:t>
            </w:r>
          </w:p>
        </w:tc>
        <w:tc>
          <w:tcPr>
            <w:tcW w:w="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r>
      <w:tr>
        <w:trPr>
          <w:trHeight w:val="262"/>
        </w:trPr>
        <w:tc>
          <w:tcPr>
            <w:tcW w:w="638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(5,180)</w:t>
            </w:r>
          </w:p>
        </w:tc>
        <w:tc>
          <w:tcPr>
            <w:tcW w:w="3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3,882</w:t>
            </w:r>
          </w:p>
        </w:tc>
      </w:tr>
      <w:tr>
        <w:trPr>
          <w:trHeight w:val="275"/>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7,043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13,797</w:t>
            </w:r>
          </w:p>
        </w:tc>
      </w:tr>
      <w:tr>
        <w:trPr>
          <w:trHeight w:val="242"/>
        </w:trPr>
        <w:tc>
          <w:tcPr>
            <w:tcW w:w="63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13,119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12,977</w:t>
            </w:r>
          </w:p>
        </w:tc>
      </w:tr>
      <w:tr>
        <w:trPr>
          <w:trHeight w:val="275"/>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beginning of period</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3,778</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1,170</w:t>
            </w:r>
          </w:p>
        </w:tc>
      </w:tr>
      <w:tr>
        <w:trPr>
          <w:trHeight w:val="255"/>
        </w:trPr>
        <w:tc>
          <w:tcPr>
            <w:tcW w:w="6380" w:type="dxa"/>
            <w:vAlign w:val="bottom"/>
          </w:tcPr>
          <w:p>
            <w:pPr>
              <w:ind w:left="40"/>
              <w:spacing w:after="0"/>
              <w:rPr>
                <w:sz w:val="20"/>
                <w:szCs w:val="20"/>
                <w:color w:val="auto"/>
              </w:rPr>
            </w:pPr>
            <w:r>
              <w:rPr>
                <w:rFonts w:ascii="Arial" w:cs="Arial" w:eastAsia="Arial" w:hAnsi="Arial"/>
                <w:sz w:val="18"/>
                <w:szCs w:val="18"/>
                <w:color w:val="auto"/>
              </w:rPr>
              <w:t>Cash, end of period</w:t>
            </w:r>
          </w:p>
        </w:tc>
        <w:tc>
          <w:tcPr>
            <w:tcW w:w="1060" w:type="dxa"/>
            <w:vAlign w:val="bottom"/>
          </w:tcPr>
          <w:p>
            <w:pPr>
              <w:jc w:val="right"/>
              <w:ind w:right="851"/>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18,067</w:t>
            </w:r>
          </w:p>
        </w:tc>
        <w:tc>
          <w:tcPr>
            <w:tcW w:w="100" w:type="dxa"/>
            <w:vAlign w:val="bottom"/>
          </w:tcPr>
          <w:p>
            <w:pPr>
              <w:spacing w:after="0"/>
              <w:rPr>
                <w:sz w:val="22"/>
                <w:szCs w:val="22"/>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3,920</w:t>
            </w:r>
          </w:p>
        </w:tc>
        <w:tc>
          <w:tcPr>
            <w:tcW w:w="3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14,147</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Net cash provided by operating activities was $ 7.4 million for the nine months ended September 30, 2018 as compared to net cash provided by operating activities of $12.1 million for the nine months ended September 30, 2017. This decrease in net cash provided by operating activities was attributable to a decrease in Other Income of $3.5 million related to a buyout of a franchise agreement in June of 2017, and a decrease in cash provided by deferred rent of $3.1 million related to lease incentives received in August of 2017 for the corporate headquarters.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investment activities</w:t>
      </w:r>
    </w:p>
    <w:p>
      <w:pPr>
        <w:spacing w:after="0" w:line="13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cash used in business investment activities was $1.3 million for the nine months ended September 30, 2018 as compared to net cash used in business investment activities of $ 5.2 million for the nine months ended September 30, 2017. The decrease in cash used in business investment activities is related to the build-out of the corporate headquarters during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Financing activities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cash provided by financing activities was $7.0 million for the nine months ended September 30, 2018 as compared to net cash used in financing activities of $6.8 million for the nine months ended September 30, 2017. This increase in net cash provided by financing activities was primarily attributable to activity related to the Offering, during which $86.8 million was received in proceeds and $63.6 million was distributed. These activities are offset by repayments of note payables of $50.1 million for the nine months ended September 30, 2018 as compared to $250 thousand for the nine months ended September 30, 2017, while proceeds from notes payable were $50.0 million for the nine months ended September 30, 2018 as compared to $10.0 million for the nine months ended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3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Our sources of liquidity are (1) cash on hand, (2) net working capital, (3) cash flows from operations and (4) our Revolving Credit Facility. Based on our current expectations, we believe that these sources of liquidity will be sufficient to fund our working capital requirements and to meet our commitments in the foreseeable future.</w:t>
      </w:r>
    </w:p>
    <w:p>
      <w:pPr>
        <w:spacing w:after="0" w:line="9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expect that our primary liquidity needs will comprise cash to (1) provide capital to facilitate the organic growth of our business, (2) pay operating expenses, including cash compensation to our employees, (3) make payments under the tax receivable agreement, (4) pay interest and principal due on borrowings under our Credit Agreement and (5) pay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dividend policy as described in the Final Prospectus.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92"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expect to obtain an increase in our share of our tax basis of the assets when limited liability company units of GF are redeemed or exchanged by the Pre-IPO LLC Members and other qualifying transactions. This increase in tax basis may have the effect of reducing the future amounts paid to various tax authorities. The increase in tax basis may also decrease gains (or increase losses) on future dispositions of certain capital assets to the extent tax basis is allocated to those capital assets.</w:t>
      </w:r>
    </w:p>
    <w:p>
      <w:pPr>
        <w:spacing w:after="0" w:line="9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entered into a tax receivable agreement with the Pre-IPO LLC Members on May 1, 2018 that will provide for the payment by us to the Pre-IPO LLC Members of 85% of the amount of cash savings, if any, in U.S. federal, state and local income tax or franchise tax that we actually realize as a result of (i) any increase in tax basis in GSHD’s assets and (ii) tax benefits related to imputed interest deemed arising as a result of payments made under the tax receivable agreement. See “Certain relationships and related party transactions—Tax receivable agreement” in the Final Prospectus.</w:t>
      </w:r>
    </w:p>
    <w:p>
      <w:pPr>
        <w:spacing w:after="0" w:line="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three and nine months ended September 30, 2018, no distributions or redemptions were made that triggered an increase in our tax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represents our contractual obligations as of September 30, 2018, aggregated by type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247255" cy="187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187325"/>
                    </a:xfrm>
                    <a:prstGeom prst="rect">
                      <a:avLst/>
                    </a:prstGeom>
                    <a:noFill/>
                  </pic:spPr>
                </pic:pic>
              </a:graphicData>
            </a:graphic>
          </wp:anchor>
        </w:drawing>
      </w:r>
    </w:p>
    <w:p>
      <w:pPr>
        <w:spacing w:after="0" w:line="30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27940</wp:posOffset>
            </wp:positionV>
            <wp:extent cx="4664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64075"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Less than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b w:val="1"/>
                <w:bCs w:val="1"/>
                <w:color w:val="auto"/>
              </w:rPr>
              <w:t>More than</w:t>
            </w:r>
          </w:p>
        </w:tc>
      </w:tr>
      <w:tr>
        <w:trPr>
          <w:trHeight w:val="245"/>
        </w:trPr>
        <w:tc>
          <w:tcPr>
            <w:tcW w:w="39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1 year</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3-5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5 years</w:t>
            </w:r>
          </w:p>
        </w:tc>
      </w:tr>
      <w:tr>
        <w:trPr>
          <w:trHeight w:val="255"/>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12,228</w:t>
            </w:r>
          </w:p>
        </w:tc>
      </w:tr>
      <w:tr>
        <w:trPr>
          <w:trHeight w:val="269"/>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Debt obligations payable</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49,500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47,250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42"/>
        </w:trPr>
        <w:tc>
          <w:tcPr>
            <w:tcW w:w="4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12,228</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60" w:right="80" w:hanging="326"/>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leases its facilities under non-cancelable operating leases. In addition to monthly lease payments, the lease agreements require the Company to reimburse the lessors for its portion of operating costs each year. Rent expense was $383 thousand and $212 thousand for the three months ended September 30, 2018 and 2017. Rent expense was $1.2 million and $532 thousand for the nine months ended September 30, 2018 and 2017.</w:t>
      </w:r>
    </w:p>
    <w:p>
      <w:pPr>
        <w:ind w:left="360" w:right="100" w:hanging="326"/>
        <w:spacing w:after="0" w:line="255"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refinanced its credit facilities on August 3, 2018 in the form of a $40 million term loan and $13 million revolving credit facility, of which $10 million was drawn as of September 30, 2018. The refinancing decreased the Company's borrowing costs by 300 bps and shortened the term loan maturity to 3 years.</w:t>
      </w:r>
    </w:p>
    <w:p>
      <w:pPr>
        <w:spacing w:after="0" w:line="3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w:t>
      </w:r>
    </w:p>
    <w:p>
      <w:pPr>
        <w:spacing w:after="0" w:line="139"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 except for those described under “Contractual obligations, commitments and contingencies” above.</w:t>
      </w:r>
    </w:p>
    <w:p>
      <w:pPr>
        <w:spacing w:after="0" w:line="3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w:t>
      </w:r>
    </w:p>
    <w:p>
      <w:pPr>
        <w:spacing w:after="0" w:line="13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Our discussion and analysis of our consolidated financial condition and results of operations is based upon the accompanying condensed consolidated financial statements and notes thereto, which have been prepared in accordance with GAAP. The preparation of the condensed consolidated financial statements requires us to make estimates, judgments and assumptions, which we believe to be reasonable, based on the information available. These estimates and assumptions affect the reported amounts of assets, liabilities, revenues and expenses, and related disclosures of contingent assets and liabilities. Variances in the estimates or assumptions used to actual experience could yield materially different accounting results. On an ongoing basis, we evaluate the continued appropriateness of our accounting policies and resulting estimates to make adjustments we consider appropriate under the facts and circumstances. There have been no significant changes to our critical accounting policies as disclosed in the Final Prospectus, other than the "Capitalized IPO Related Costs" as described in Note 2 of the condensed consolidated financial statements included in this Form 10-Q.</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88" w:right="239" w:bottom="1440" w:gutter="0" w:footer="0" w:header="0"/>
        </w:sectPr>
      </w:pPr>
    </w:p>
    <w:bookmarkStart w:id="36" w:name="page37"/>
    <w:bookmarkEnd w:id="36"/>
    <w:p>
      <w:pPr>
        <w:spacing w:after="0"/>
        <w:rPr>
          <w:sz w:val="20"/>
          <w:szCs w:val="20"/>
          <w:color w:val="auto"/>
        </w:rPr>
      </w:pPr>
      <w:r>
        <w:rPr>
          <w:rFonts w:ascii="Arial" w:cs="Arial" w:eastAsia="Arial" w:hAnsi="Arial"/>
          <w:sz w:val="21"/>
          <w:szCs w:val="21"/>
          <w:b w:val="1"/>
          <w:bCs w:val="1"/>
          <w:color w:val="auto"/>
        </w:rPr>
        <w:t>Recent accounting pronouncements</w:t>
      </w:r>
    </w:p>
    <w:p>
      <w:pPr>
        <w:spacing w:after="0" w:line="1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See "Note 2: Summary of Significant Accounting Policies—Recently Issued Accounting Pronouncements” under Part I, Item 1 of this Form 10-Q.</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Emerging growth company</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Pursuant to the JOBS Act, an emerging growth company is provided the option to adopt new or revised accounting standards that may be issued by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herein may be different than the information you receive from other public companies. We also intend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13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There have been no material changes to our exposure to market risks as described in "Management's discussion and analysis of financial condition and results of operations" of the Final Prospectus.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supervision and with the participation of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because of the material weakness in internal control over financial reporting described in the Final Prospectus, our disclosure controls and procedures were not effective as of September 30, 2018.</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Final Prospectus, we identified and reported material weaknesses regarding the lack of adequate (i) executive management review of our GAAP financial statements, (ii) review of our accounting policies, including recent accounting pronouncements and significant transactions for the periods presented and (iii) information technology general controls in the areas of user access and program change management for certain information technology systems.</w:t>
      </w:r>
    </w:p>
    <w:p>
      <w:pPr>
        <w:spacing w:after="0" w:line="9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While the material weaknesses still exist as of September 30, 2018, we continued to implement certain measures to remediate them during the quarter ended September 30, 2018. For example, we implemented policies requiring our executive management and audit committee to review our financial statements presented on a GAAP basis. Additionally, we have implemented policies requiring our Chief Financial Officer, controller and assistant controller (who was recently hired to assist with financial reporting requirements) to systematically review and document all accounting policies and procedures around significant transactions to ensure compliance with the most recent GAAP pronouncements.</w:t>
      </w:r>
    </w:p>
    <w:p>
      <w:pPr>
        <w:spacing w:after="0" w:line="8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Additionally, to address the information technology general control material weakness described above in (iii), we have implemented a remediation plan that includes updating certain users' access to ensure that financial data is adequately restricted to appropriate personnel. We have also implemented program change management controls to ensure that any system changes are adequately reviewed and deployed through the appropriate personnel. We believe this plan effectively remediates this material weakness, however the effectiveness of the new controls must be tested over a sufficient period of time. As such, the material weaknesses still exist as of September 30,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 material costs were incurred during the quarter ended September 30, 2018 relating to remediation efforts discussed above.</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92" w:right="259" w:bottom="1440" w:gutter="0" w:footer="0" w:header="0"/>
        </w:sectPr>
      </w:pPr>
    </w:p>
    <w:bookmarkStart w:id="37" w:name="page38"/>
    <w:bookmarkEnd w:id="37"/>
    <w:p>
      <w:pPr>
        <w:spacing w:after="0"/>
        <w:rPr>
          <w:sz w:val="20"/>
          <w:szCs w:val="20"/>
          <w:color w:val="auto"/>
        </w:rPr>
      </w:pPr>
      <w:r>
        <w:rPr>
          <w:rFonts w:ascii="Arial" w:cs="Arial" w:eastAsia="Arial" w:hAnsi="Arial"/>
          <w:sz w:val="21"/>
          <w:szCs w:val="21"/>
          <w:b w:val="1"/>
          <w:bCs w:val="1"/>
          <w:color w:val="auto"/>
        </w:rPr>
        <w:t>PART II</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matters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Part I, Item I, Note 7. Income Taxes.</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with respect to the risk factors disclosed in the Final Prospectus.</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Sales of Unregistered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Use of Proceeds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26, 2018, our Registration Statement on Form S-1 (Registration No. 333-224080) was declared effective by the SEC in connection with the Offering pursuant to which we sold an aggregate of 9,810 thousand shares of our Class A common stock (including 1,280 thousand shares sold pursuant to the underwriters' over-allotment option) at a price of $ 10.00 per share. J.P. Morgan Securities LLC and Merrill Lynch, Pierce Fenner &amp; Smith Incorporated acted as joint book-running managers in the Offering. Keefe, Bruyette &amp; Woods, Inc. and William Blair &amp; Company, L.L.C. acted as co-managers in the Offering. The Offering resulted in net proceeds of approximately $87 million after deducting underwriters' discounts and commissions of $7 million and other offering expenses of $4.25 million.</w:t>
      </w:r>
    </w:p>
    <w:p>
      <w:pPr>
        <w:spacing w:after="0" w:line="9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used the net proceeds to us from the base portion of the Offering (approximately $77 million) to effect partial repayment of notes issued by the Company in exchange for the transfer of certain ownership interests in Goosehead Management, LLC and Texas Wasatch Insurance Holdings Group, LLC held by their historical owners, which include certain members of the Company’s management and board of directors, including certain persons owning 10% or more of our common stock. We used the net proceeds to us from the exercise of the underwriters’ over-allotment option to purchase from Goosehead Financial, LLC a number of LLC Units equal to the number of shares of Class A common stock issued pursuant to the exercise of the underwriters’ over-allotment option. In turn, we intend to cause Goosehead Financial, LLC to use the proceeds it receives for general corporate purposes, which may include the repayment of debt. Between the effective date of the Registration Statement and November 6, 2018, Goosehead Financial, LLC has used approximately $0 of the net proceeds from the exercise of the underwriters’ over-allotment option. None of the net proceeds from the exercise of the underwriters’ over-allotment option were used to make payments, directly or indirectly, to (i) any of our directors, officers or their associates, (ii) any persons owning 10% or more of our common shares or (iii) any of our affiliates. The intended use of the remaining net proceeds has not changed from the information mentioned in the Final Prospectus.</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Mine Safety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7" w:right="239" w:bottom="1440" w:gutter="0" w:footer="0" w:header="0"/>
        </w:sectPr>
      </w:pPr>
    </w:p>
    <w:bookmarkStart w:id="38" w:name="page39"/>
    <w:bookmarkEnd w:id="38"/>
    <w:p>
      <w:pPr>
        <w:spacing w:after="0"/>
        <w:rPr>
          <w:sz w:val="20"/>
          <w:szCs w:val="20"/>
          <w:color w:val="auto"/>
        </w:rPr>
      </w:pPr>
      <w:r>
        <w:rPr>
          <w:rFonts w:ascii="Arial" w:cs="Arial" w:eastAsia="Arial" w:hAnsi="Arial"/>
          <w:sz w:val="21"/>
          <w:szCs w:val="21"/>
          <w:b w:val="1"/>
          <w:bCs w:val="1"/>
          <w:color w:val="auto"/>
        </w:rPr>
        <w:t>Item 6. Exhibits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Exhibit 31.1</w:t>
              </w:r>
            </w:hyperlink>
          </w:p>
        </w:tc>
        <w:tc>
          <w:tcPr>
            <w:tcW w:w="1920" w:type="dxa"/>
            <w:vAlign w:val="bottom"/>
          </w:tcPr>
          <w:p>
            <w:pPr>
              <w:spacing w:after="0"/>
              <w:rPr>
                <w:sz w:val="17"/>
                <w:szCs w:val="17"/>
                <w:color w:val="auto"/>
              </w:rPr>
            </w:pPr>
          </w:p>
        </w:tc>
        <w:tc>
          <w:tcPr>
            <w:tcW w:w="788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Certifications of Chief Executive Officer pursuant to Section 302 of the Sarbanes-Oxley Act of 2002.</w:t>
              </w:r>
            </w:hyperlink>
          </w:p>
        </w:tc>
      </w:tr>
      <w:tr>
        <w:trPr>
          <w:trHeight w:val="235"/>
        </w:trPr>
        <w:tc>
          <w:tcPr>
            <w:tcW w:w="9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Exhibit 31.2</w:t>
              </w:r>
            </w:hyperlink>
          </w:p>
        </w:tc>
        <w:tc>
          <w:tcPr>
            <w:tcW w:w="1920" w:type="dxa"/>
            <w:vAlign w:val="bottom"/>
          </w:tcPr>
          <w:p>
            <w:pPr>
              <w:spacing w:after="0"/>
              <w:rPr>
                <w:sz w:val="20"/>
                <w:szCs w:val="20"/>
                <w:color w:val="auto"/>
              </w:rPr>
            </w:pPr>
          </w:p>
        </w:tc>
        <w:tc>
          <w:tcPr>
            <w:tcW w:w="782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Certifications of Chief Financial Officer pursuant to Section 302 of the Sarbanes-Oxley Act of 2002.</w:t>
              </w:r>
            </w:hyperlink>
          </w:p>
        </w:tc>
        <w:tc>
          <w:tcPr>
            <w:tcW w:w="60" w:type="dxa"/>
            <w:vAlign w:val="bottom"/>
          </w:tcPr>
          <w:p>
            <w:pPr>
              <w:spacing w:after="0"/>
              <w:rPr>
                <w:sz w:val="20"/>
                <w:szCs w:val="20"/>
                <w:color w:val="auto"/>
              </w:rPr>
            </w:pPr>
          </w:p>
        </w:tc>
      </w:tr>
      <w:tr>
        <w:trPr>
          <w:trHeight w:val="235"/>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70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Certifications of Chief Executive Officer and Chief Financial Officer pursuant to Section 906 of the</w:t>
              </w:r>
            </w:hyperlink>
          </w:p>
        </w:tc>
        <w:tc>
          <w:tcPr>
            <w:tcW w:w="180" w:type="dxa"/>
            <w:vAlign w:val="bottom"/>
            <w:gridSpan w:val="2"/>
          </w:tcPr>
          <w:p>
            <w:pPr>
              <w:spacing w:after="0"/>
              <w:rPr>
                <w:sz w:val="20"/>
                <w:szCs w:val="20"/>
                <w:color w:val="auto"/>
              </w:rPr>
            </w:pPr>
          </w:p>
        </w:tc>
      </w:tr>
      <w:tr>
        <w:trPr>
          <w:trHeight w:val="181"/>
        </w:trPr>
        <w:tc>
          <w:tcPr>
            <w:tcW w:w="920" w:type="dxa"/>
            <w:vAlign w:val="bottom"/>
            <w:gridSpan w:val="2"/>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Exhibit 32</w:t>
              </w:r>
            </w:hyperlink>
          </w:p>
        </w:tc>
        <w:tc>
          <w:tcPr>
            <w:tcW w:w="1920" w:type="dxa"/>
            <w:vAlign w:val="bottom"/>
          </w:tcPr>
          <w:p>
            <w:pPr>
              <w:spacing w:after="0"/>
              <w:rPr>
                <w:sz w:val="15"/>
                <w:szCs w:val="15"/>
                <w:color w:val="auto"/>
              </w:rPr>
            </w:pPr>
          </w:p>
        </w:tc>
        <w:tc>
          <w:tcPr>
            <w:tcW w:w="7880" w:type="dxa"/>
            <w:vAlign w:val="bottom"/>
            <w:gridSpan w:val="4"/>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Sarbanes-Oxley Act of 2002.</w:t>
              </w:r>
            </w:hyperlink>
          </w:p>
        </w:tc>
      </w:tr>
      <w:tr>
        <w:trPr>
          <w:trHeight w:val="276"/>
        </w:trPr>
        <w:tc>
          <w:tcPr>
            <w:tcW w:w="7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2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5600" w:type="dxa"/>
            <w:vAlign w:val="bottom"/>
            <w:gridSpan w:val="3"/>
          </w:tcPr>
          <w:p>
            <w:pPr>
              <w:spacing w:after="0"/>
              <w:rPr>
                <w:sz w:val="23"/>
                <w:szCs w:val="23"/>
                <w:color w:val="auto"/>
              </w:rPr>
            </w:pPr>
          </w:p>
        </w:tc>
      </w:tr>
      <w:tr>
        <w:trPr>
          <w:trHeight w:val="255"/>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920" w:type="dxa"/>
            <w:vAlign w:val="bottom"/>
          </w:tcPr>
          <w:p>
            <w:pPr>
              <w:spacing w:after="0"/>
              <w:rPr>
                <w:sz w:val="22"/>
                <w:szCs w:val="22"/>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255"/>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920" w:type="dxa"/>
            <w:vAlign w:val="bottom"/>
          </w:tcPr>
          <w:p>
            <w:pPr>
              <w:spacing w:after="0"/>
              <w:rPr>
                <w:sz w:val="22"/>
                <w:szCs w:val="22"/>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255"/>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920" w:type="dxa"/>
            <w:vAlign w:val="bottom"/>
          </w:tcPr>
          <w:p>
            <w:pPr>
              <w:spacing w:after="0"/>
              <w:rPr>
                <w:sz w:val="22"/>
                <w:szCs w:val="22"/>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r>
        <w:trPr>
          <w:trHeight w:val="255"/>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920" w:type="dxa"/>
            <w:vAlign w:val="bottom"/>
          </w:tcPr>
          <w:p>
            <w:pPr>
              <w:spacing w:after="0"/>
              <w:rPr>
                <w:sz w:val="22"/>
                <w:szCs w:val="22"/>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r>
      <w:tr>
        <w:trPr>
          <w:trHeight w:val="255"/>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920" w:type="dxa"/>
            <w:vAlign w:val="bottom"/>
          </w:tcPr>
          <w:p>
            <w:pPr>
              <w:spacing w:after="0"/>
              <w:rPr>
                <w:sz w:val="22"/>
                <w:szCs w:val="22"/>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Presentation Linkbase</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Signatures</w:t>
      </w:r>
    </w:p>
    <w:p>
      <w:pPr>
        <w:spacing w:after="0" w:line="287" w:lineRule="exact"/>
        <w:rPr>
          <w:sz w:val="20"/>
          <w:szCs w:val="20"/>
          <w:color w:val="auto"/>
        </w:rPr>
      </w:pPr>
    </w:p>
    <w:p>
      <w:pPr>
        <w:ind w:firstLine="645"/>
        <w:spacing w:after="0" w:line="259" w:lineRule="auto"/>
        <w:rPr>
          <w:sz w:val="20"/>
          <w:szCs w:val="20"/>
          <w:color w:val="auto"/>
        </w:rPr>
      </w:pPr>
      <w:r>
        <w:rPr>
          <w:rFonts w:ascii="Arial" w:cs="Arial" w:eastAsia="Arial" w:hAnsi="Arial"/>
          <w:sz w:val="18"/>
          <w:szCs w:val="18"/>
          <w:color w:val="auto"/>
        </w:rPr>
        <w:t>Pursuant to the requirements of the Securities Exchange Act of 1934, we have duly caused this report to be signed on our behalf by the undersigned thereunto duly authorized.</w:t>
      </w:r>
    </w:p>
    <w:p>
      <w:pPr>
        <w:spacing w:after="0" w:line="372"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8240" w:type="dxa"/>
            <w:vAlign w:val="bottom"/>
            <w:gridSpan w:val="2"/>
          </w:tcPr>
          <w:p>
            <w:pPr>
              <w:ind w:left="2780"/>
              <w:spacing w:after="0"/>
              <w:rPr>
                <w:sz w:val="20"/>
                <w:szCs w:val="20"/>
                <w:color w:val="auto"/>
              </w:rPr>
            </w:pPr>
            <w:r>
              <w:rPr>
                <w:rFonts w:ascii="Arial" w:cs="Arial" w:eastAsia="Arial" w:hAnsi="Arial"/>
                <w:sz w:val="18"/>
                <w:szCs w:val="18"/>
                <w:color w:val="auto"/>
              </w:rPr>
              <w:t>GOOSEHEAD INSURANCE, INC.</w:t>
            </w:r>
          </w:p>
        </w:tc>
      </w:tr>
      <w:tr>
        <w:trPr>
          <w:trHeight w:val="530"/>
        </w:trPr>
        <w:tc>
          <w:tcPr>
            <w:tcW w:w="16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60"/>
              <w:spacing w:after="0"/>
              <w:rPr>
                <w:sz w:val="20"/>
                <w:szCs w:val="20"/>
                <w:color w:val="auto"/>
              </w:rPr>
            </w:pPr>
            <w:r>
              <w:rPr>
                <w:rFonts w:ascii="Arial" w:cs="Arial" w:eastAsia="Arial" w:hAnsi="Arial"/>
                <w:sz w:val="18"/>
                <w:szCs w:val="18"/>
                <w:color w:val="auto"/>
              </w:rPr>
              <w:t>November 6, 2018 By:</w:t>
            </w:r>
          </w:p>
        </w:tc>
        <w:tc>
          <w:tcPr>
            <w:tcW w:w="5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Mark E. Jones</w:t>
            </w:r>
          </w:p>
        </w:tc>
      </w:tr>
      <w:tr>
        <w:trPr>
          <w:trHeight w:val="242"/>
        </w:trPr>
        <w:tc>
          <w:tcPr>
            <w:tcW w:w="16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Mark E. Jones</w:t>
            </w:r>
          </w:p>
        </w:tc>
      </w:tr>
      <w:tr>
        <w:trPr>
          <w:trHeight w:val="269"/>
        </w:trPr>
        <w:tc>
          <w:tcPr>
            <w:tcW w:w="16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Chairman and Chief Executive Officer</w:t>
            </w:r>
          </w:p>
        </w:tc>
      </w:tr>
      <w:tr>
        <w:trPr>
          <w:trHeight w:val="269"/>
        </w:trPr>
        <w:tc>
          <w:tcPr>
            <w:tcW w:w="16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530"/>
        </w:trPr>
        <w:tc>
          <w:tcPr>
            <w:tcW w:w="16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60"/>
              <w:spacing w:after="0"/>
              <w:rPr>
                <w:sz w:val="20"/>
                <w:szCs w:val="20"/>
                <w:color w:val="auto"/>
              </w:rPr>
            </w:pPr>
            <w:r>
              <w:rPr>
                <w:rFonts w:ascii="Arial" w:cs="Arial" w:eastAsia="Arial" w:hAnsi="Arial"/>
                <w:sz w:val="18"/>
                <w:szCs w:val="18"/>
                <w:color w:val="auto"/>
              </w:rPr>
              <w:t>November 6, 2018 By:</w:t>
            </w:r>
          </w:p>
        </w:tc>
        <w:tc>
          <w:tcPr>
            <w:tcW w:w="5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Mark S. Colby</w:t>
            </w:r>
          </w:p>
        </w:tc>
      </w:tr>
      <w:tr>
        <w:trPr>
          <w:trHeight w:val="242"/>
        </w:trPr>
        <w:tc>
          <w:tcPr>
            <w:tcW w:w="16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Mark S. Colby</w:t>
            </w:r>
          </w:p>
        </w:tc>
      </w:tr>
      <w:tr>
        <w:trPr>
          <w:trHeight w:val="269"/>
        </w:trPr>
        <w:tc>
          <w:tcPr>
            <w:tcW w:w="16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269"/>
        </w:trPr>
        <w:tc>
          <w:tcPr>
            <w:tcW w:w="16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725"/>
        </w:trPr>
        <w:tc>
          <w:tcPr>
            <w:tcW w:w="1680" w:type="dxa"/>
            <w:vAlign w:val="bottom"/>
          </w:tcPr>
          <w:p>
            <w:pPr>
              <w:spacing w:after="0"/>
              <w:rPr>
                <w:sz w:val="24"/>
                <w:szCs w:val="24"/>
                <w:color w:val="auto"/>
              </w:rPr>
            </w:pPr>
          </w:p>
        </w:tc>
        <w:tc>
          <w:tcPr>
            <w:tcW w:w="3180" w:type="dxa"/>
            <w:vAlign w:val="bottom"/>
          </w:tcPr>
          <w:p>
            <w:pPr>
              <w:ind w:left="2760"/>
              <w:spacing w:after="0"/>
              <w:rPr>
                <w:sz w:val="20"/>
                <w:szCs w:val="20"/>
                <w:color w:val="auto"/>
              </w:rPr>
            </w:pPr>
            <w:r>
              <w:rPr>
                <w:rFonts w:ascii="Arial" w:cs="Arial" w:eastAsia="Arial" w:hAnsi="Arial"/>
                <w:sz w:val="18"/>
                <w:szCs w:val="18"/>
                <w:color w:val="auto"/>
              </w:rPr>
              <w:t>39</w:t>
            </w:r>
          </w:p>
        </w:tc>
        <w:tc>
          <w:tcPr>
            <w:tcW w:w="506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39" w:name="page40"/>
    <w:bookmarkEnd w:id="39"/>
    <w:p>
      <w:pPr>
        <w:spacing w:after="0"/>
        <w:rPr>
          <w:sz w:val="20"/>
          <w:szCs w:val="20"/>
          <w:color w:val="auto"/>
        </w:rPr>
      </w:pPr>
      <w:r>
        <w:rPr>
          <w:rFonts w:ascii="Arial" w:cs="Arial" w:eastAsia="Arial" w:hAnsi="Arial"/>
          <w:sz w:val="21"/>
          <w:szCs w:val="21"/>
          <w:b w:val="1"/>
          <w:bCs w:val="1"/>
          <w:color w:val="auto"/>
        </w:rPr>
        <w:t>Exhibit 31.1</w:t>
      </w:r>
    </w:p>
    <w:p>
      <w:pPr>
        <w:spacing w:after="0" w:line="228" w:lineRule="exact"/>
        <w:rPr>
          <w:sz w:val="20"/>
          <w:szCs w:val="20"/>
          <w:color w:val="auto"/>
        </w:rPr>
      </w:pPr>
    </w:p>
    <w:p>
      <w:pPr>
        <w:ind w:right="60"/>
        <w:spacing w:after="0" w:line="296" w:lineRule="auto"/>
        <w:rPr>
          <w:sz w:val="20"/>
          <w:szCs w:val="20"/>
          <w:color w:val="auto"/>
        </w:rPr>
      </w:pPr>
      <w:r>
        <w:rPr>
          <w:rFonts w:ascii="Arial" w:cs="Arial" w:eastAsia="Arial" w:hAnsi="Arial"/>
          <w:sz w:val="21"/>
          <w:szCs w:val="21"/>
          <w:b w:val="1"/>
          <w:bCs w:val="1"/>
          <w:color w:val="auto"/>
        </w:rPr>
        <w:t>Certification of Principal Executive Officer pursuant to Exchange Act Rules 13a-14(a</w:t>
      </w:r>
      <w:r>
        <w:rPr>
          <w:rFonts w:ascii="Arial" w:cs="Arial" w:eastAsia="Arial" w:hAnsi="Arial"/>
          <w:sz w:val="21"/>
          <w:szCs w:val="21"/>
          <w:color w:val="auto"/>
        </w:rPr>
        <w:t>)</w:t>
      </w:r>
      <w:r>
        <w:rPr>
          <w:rFonts w:ascii="Arial" w:cs="Arial" w:eastAsia="Arial" w:hAnsi="Arial"/>
          <w:sz w:val="21"/>
          <w:szCs w:val="21"/>
          <w:b w:val="1"/>
          <w:bCs w:val="1"/>
          <w:color w:val="auto"/>
        </w:rPr>
        <w:t xml:space="preserve"> and 15d-14(a), as adopted pursuant to Section 302 of Sarbanes-Oxley Act of 2002</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E. Jones, certify that:</w:t>
      </w:r>
    </w:p>
    <w:p>
      <w:pPr>
        <w:spacing w:after="0" w:line="250" w:lineRule="exact"/>
        <w:rPr>
          <w:sz w:val="20"/>
          <w:szCs w:val="20"/>
          <w:color w:val="auto"/>
        </w:rPr>
      </w:pPr>
    </w:p>
    <w:p>
      <w:pPr>
        <w:ind w:left="2100" w:hanging="804"/>
        <w:spacing w:after="0" w:line="207" w:lineRule="exact"/>
        <w:tabs>
          <w:tab w:leader="none" w:pos="2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Goosehead Insurance, Inc.;</w:t>
      </w:r>
    </w:p>
    <w:p>
      <w:pPr>
        <w:spacing w:after="0" w:line="262" w:lineRule="exact"/>
        <w:rPr>
          <w:rFonts w:ascii="Arial" w:cs="Arial" w:eastAsia="Arial" w:hAnsi="Arial"/>
          <w:sz w:val="18"/>
          <w:szCs w:val="18"/>
          <w:color w:val="auto"/>
        </w:rPr>
      </w:pPr>
    </w:p>
    <w:p>
      <w:pPr>
        <w:ind w:left="660" w:right="560" w:firstLine="636"/>
        <w:spacing w:after="0" w:line="301" w:lineRule="auto"/>
        <w:tabs>
          <w:tab w:leader="none" w:pos="2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right="20" w:firstLine="636"/>
        <w:spacing w:after="0" w:line="301" w:lineRule="auto"/>
        <w:tabs>
          <w:tab w:leader="none" w:pos="2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1" w:lineRule="exact"/>
        <w:rPr>
          <w:rFonts w:ascii="Arial" w:cs="Arial" w:eastAsia="Arial" w:hAnsi="Arial"/>
          <w:sz w:val="18"/>
          <w:szCs w:val="18"/>
          <w:color w:val="auto"/>
        </w:rPr>
      </w:pPr>
    </w:p>
    <w:p>
      <w:pPr>
        <w:ind w:left="660" w:right="340" w:firstLine="636"/>
        <w:spacing w:after="0" w:line="236" w:lineRule="exact"/>
        <w:tabs>
          <w:tab w:leader="none" w:pos="2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company and have:</w:t>
      </w:r>
    </w:p>
    <w:p>
      <w:pPr>
        <w:spacing w:after="0" w:line="254" w:lineRule="exact"/>
        <w:rPr>
          <w:rFonts w:ascii="Arial" w:cs="Arial" w:eastAsia="Arial" w:hAnsi="Arial"/>
          <w:sz w:val="18"/>
          <w:szCs w:val="18"/>
          <w:color w:val="auto"/>
        </w:rPr>
      </w:pPr>
    </w:p>
    <w:p>
      <w:pPr>
        <w:ind w:left="1300" w:right="100" w:firstLine="641"/>
        <w:spacing w:after="0" w:line="299" w:lineRule="auto"/>
        <w:tabs>
          <w:tab w:leader="none" w:pos="27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2740" w:hanging="799"/>
        <w:spacing w:after="0"/>
        <w:tabs>
          <w:tab w:leader="none" w:pos="274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80" w:lineRule="exact"/>
        <w:rPr>
          <w:rFonts w:ascii="Arial" w:cs="Arial" w:eastAsia="Arial" w:hAnsi="Arial"/>
          <w:sz w:val="18"/>
          <w:szCs w:val="18"/>
          <w:color w:val="auto"/>
        </w:rPr>
      </w:pPr>
    </w:p>
    <w:p>
      <w:pPr>
        <w:ind w:left="1300" w:right="60" w:firstLine="641"/>
        <w:spacing w:after="0" w:line="301" w:lineRule="auto"/>
        <w:tabs>
          <w:tab w:leader="none" w:pos="27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right="300" w:firstLine="641"/>
        <w:spacing w:after="0" w:line="325" w:lineRule="auto"/>
        <w:tabs>
          <w:tab w:leader="none" w:pos="273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6" w:lineRule="exact"/>
        <w:rPr>
          <w:rFonts w:ascii="Arial" w:cs="Arial" w:eastAsia="Arial" w:hAnsi="Arial"/>
          <w:sz w:val="17"/>
          <w:szCs w:val="17"/>
          <w:color w:val="auto"/>
        </w:rPr>
      </w:pPr>
    </w:p>
    <w:p>
      <w:pPr>
        <w:ind w:left="660" w:right="60" w:firstLine="636"/>
        <w:spacing w:after="0" w:line="301" w:lineRule="auto"/>
        <w:tabs>
          <w:tab w:leader="none" w:pos="2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1" w:lineRule="exact"/>
        <w:rPr>
          <w:rFonts w:ascii="Arial" w:cs="Arial" w:eastAsia="Arial" w:hAnsi="Arial"/>
          <w:sz w:val="18"/>
          <w:szCs w:val="18"/>
          <w:color w:val="auto"/>
        </w:rPr>
      </w:pPr>
    </w:p>
    <w:p>
      <w:pPr>
        <w:ind w:left="1300" w:right="520" w:firstLine="641"/>
        <w:spacing w:after="0" w:line="301" w:lineRule="auto"/>
        <w:tabs>
          <w:tab w:leader="none" w:pos="27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1" w:lineRule="exact"/>
        <w:rPr>
          <w:rFonts w:ascii="Arial" w:cs="Arial" w:eastAsia="Arial" w:hAnsi="Arial"/>
          <w:sz w:val="18"/>
          <w:szCs w:val="18"/>
          <w:color w:val="auto"/>
        </w:rPr>
      </w:pPr>
    </w:p>
    <w:p>
      <w:pPr>
        <w:ind w:left="1300" w:right="60" w:firstLine="641"/>
        <w:spacing w:after="0" w:line="306" w:lineRule="auto"/>
        <w:tabs>
          <w:tab w:leader="none" w:pos="27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3" w:lineRule="exact"/>
        <w:rPr>
          <w:sz w:val="20"/>
          <w:szCs w:val="20"/>
          <w:color w:val="auto"/>
        </w:rPr>
      </w:pPr>
    </w:p>
    <w:p>
      <w:pPr>
        <w:ind w:left="7740"/>
        <w:spacing w:after="0"/>
        <w:rPr>
          <w:sz w:val="20"/>
          <w:szCs w:val="20"/>
          <w:color w:val="auto"/>
        </w:rPr>
      </w:pPr>
      <w:r>
        <w:rPr>
          <w:rFonts w:ascii="Arial" w:cs="Arial" w:eastAsia="Arial" w:hAnsi="Arial"/>
          <w:sz w:val="17"/>
          <w:szCs w:val="17"/>
          <w:u w:val="single" w:color="auto"/>
          <w:color w:val="auto"/>
        </w:rPr>
        <w:t>/s/ Mark E. Jones_______________________</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Mark E. Jones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2" w:right="239" w:bottom="1440" w:gutter="0" w:footer="0" w:header="0"/>
        </w:sectPr>
      </w:pPr>
    </w:p>
    <w:bookmarkStart w:id="40" w:name="page41"/>
    <w:bookmarkEnd w:id="40"/>
    <w:p>
      <w:pPr>
        <w:spacing w:after="0"/>
        <w:rPr>
          <w:sz w:val="20"/>
          <w:szCs w:val="20"/>
          <w:color w:val="auto"/>
        </w:rPr>
      </w:pPr>
      <w:r>
        <w:rPr>
          <w:rFonts w:ascii="Arial" w:cs="Arial" w:eastAsia="Arial" w:hAnsi="Arial"/>
          <w:sz w:val="21"/>
          <w:szCs w:val="21"/>
          <w:b w:val="1"/>
          <w:bCs w:val="1"/>
          <w:color w:val="auto"/>
        </w:rPr>
        <w:t>Exhibit 31.2</w:t>
      </w:r>
    </w:p>
    <w:p>
      <w:pPr>
        <w:spacing w:after="0" w:line="228" w:lineRule="exact"/>
        <w:rPr>
          <w:sz w:val="20"/>
          <w:szCs w:val="20"/>
          <w:color w:val="auto"/>
        </w:rPr>
      </w:pPr>
    </w:p>
    <w:p>
      <w:pPr>
        <w:ind w:right="60"/>
        <w:spacing w:after="0" w:line="296" w:lineRule="auto"/>
        <w:rPr>
          <w:sz w:val="20"/>
          <w:szCs w:val="20"/>
          <w:color w:val="auto"/>
        </w:rPr>
      </w:pPr>
      <w:r>
        <w:rPr>
          <w:rFonts w:ascii="Arial" w:cs="Arial" w:eastAsia="Arial" w:hAnsi="Arial"/>
          <w:sz w:val="21"/>
          <w:szCs w:val="21"/>
          <w:b w:val="1"/>
          <w:bCs w:val="1"/>
          <w:color w:val="auto"/>
        </w:rPr>
        <w:t>Certification of Principal Executive Officer pursuant to Exchange Act Rules 13a-14(a</w:t>
      </w:r>
      <w:r>
        <w:rPr>
          <w:rFonts w:ascii="Arial" w:cs="Arial" w:eastAsia="Arial" w:hAnsi="Arial"/>
          <w:sz w:val="21"/>
          <w:szCs w:val="21"/>
          <w:color w:val="auto"/>
        </w:rPr>
        <w:t>)</w:t>
      </w:r>
      <w:r>
        <w:rPr>
          <w:rFonts w:ascii="Arial" w:cs="Arial" w:eastAsia="Arial" w:hAnsi="Arial"/>
          <w:sz w:val="21"/>
          <w:szCs w:val="21"/>
          <w:b w:val="1"/>
          <w:bCs w:val="1"/>
          <w:color w:val="auto"/>
        </w:rPr>
        <w:t xml:space="preserve"> and 15d-14(a), as adopted pursuant to Section 302 of Sarbanes-Oxley Act of 2002</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S. Colby, certify that:</w:t>
      </w:r>
    </w:p>
    <w:p>
      <w:pPr>
        <w:spacing w:after="0" w:line="250" w:lineRule="exact"/>
        <w:rPr>
          <w:sz w:val="20"/>
          <w:szCs w:val="20"/>
          <w:color w:val="auto"/>
        </w:rPr>
      </w:pPr>
    </w:p>
    <w:p>
      <w:pPr>
        <w:ind w:left="2100" w:hanging="804"/>
        <w:spacing w:after="0" w:line="207" w:lineRule="exact"/>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Goosehead Insurance, Inc.;</w:t>
      </w:r>
    </w:p>
    <w:p>
      <w:pPr>
        <w:spacing w:after="0" w:line="262" w:lineRule="exact"/>
        <w:rPr>
          <w:rFonts w:ascii="Arial" w:cs="Arial" w:eastAsia="Arial" w:hAnsi="Arial"/>
          <w:sz w:val="18"/>
          <w:szCs w:val="18"/>
          <w:color w:val="auto"/>
        </w:rPr>
      </w:pPr>
    </w:p>
    <w:p>
      <w:pPr>
        <w:ind w:left="660" w:right="560" w:firstLine="636"/>
        <w:spacing w:after="0" w:line="301" w:lineRule="auto"/>
        <w:tabs>
          <w:tab w:leader="none" w:pos="20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right="20" w:firstLine="636"/>
        <w:spacing w:after="0" w:line="301" w:lineRule="auto"/>
        <w:tabs>
          <w:tab w:leader="none" w:pos="20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1" w:lineRule="exact"/>
        <w:rPr>
          <w:rFonts w:ascii="Arial" w:cs="Arial" w:eastAsia="Arial" w:hAnsi="Arial"/>
          <w:sz w:val="18"/>
          <w:szCs w:val="18"/>
          <w:color w:val="auto"/>
        </w:rPr>
      </w:pPr>
    </w:p>
    <w:p>
      <w:pPr>
        <w:ind w:left="660" w:right="340" w:firstLine="636"/>
        <w:spacing w:after="0" w:line="236" w:lineRule="exact"/>
        <w:tabs>
          <w:tab w:leader="none" w:pos="20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company and have:</w:t>
      </w:r>
    </w:p>
    <w:p>
      <w:pPr>
        <w:spacing w:after="0" w:line="254" w:lineRule="exact"/>
        <w:rPr>
          <w:rFonts w:ascii="Arial" w:cs="Arial" w:eastAsia="Arial" w:hAnsi="Arial"/>
          <w:sz w:val="18"/>
          <w:szCs w:val="18"/>
          <w:color w:val="auto"/>
        </w:rPr>
      </w:pPr>
    </w:p>
    <w:p>
      <w:pPr>
        <w:ind w:left="1300" w:right="100" w:firstLine="641"/>
        <w:spacing w:after="0" w:line="299" w:lineRule="auto"/>
        <w:tabs>
          <w:tab w:leader="none" w:pos="273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2740" w:hanging="799"/>
        <w:spacing w:after="0"/>
        <w:tabs>
          <w:tab w:leader="none" w:pos="274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80" w:lineRule="exact"/>
        <w:rPr>
          <w:rFonts w:ascii="Arial" w:cs="Arial" w:eastAsia="Arial" w:hAnsi="Arial"/>
          <w:sz w:val="18"/>
          <w:szCs w:val="18"/>
          <w:color w:val="auto"/>
        </w:rPr>
      </w:pPr>
    </w:p>
    <w:p>
      <w:pPr>
        <w:ind w:left="1300" w:right="60" w:firstLine="641"/>
        <w:spacing w:after="0" w:line="301" w:lineRule="auto"/>
        <w:tabs>
          <w:tab w:leader="none" w:pos="27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right="300" w:firstLine="641"/>
        <w:spacing w:after="0" w:line="325" w:lineRule="auto"/>
        <w:tabs>
          <w:tab w:leader="none" w:pos="2738"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6" w:lineRule="exact"/>
        <w:rPr>
          <w:rFonts w:ascii="Arial" w:cs="Arial" w:eastAsia="Arial" w:hAnsi="Arial"/>
          <w:sz w:val="17"/>
          <w:szCs w:val="17"/>
          <w:color w:val="auto"/>
        </w:rPr>
      </w:pPr>
    </w:p>
    <w:p>
      <w:pPr>
        <w:ind w:left="660" w:right="60" w:firstLine="636"/>
        <w:spacing w:after="0" w:line="301" w:lineRule="auto"/>
        <w:tabs>
          <w:tab w:leader="none" w:pos="20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1" w:lineRule="exact"/>
        <w:rPr>
          <w:rFonts w:ascii="Arial" w:cs="Arial" w:eastAsia="Arial" w:hAnsi="Arial"/>
          <w:sz w:val="18"/>
          <w:szCs w:val="18"/>
          <w:color w:val="auto"/>
        </w:rPr>
      </w:pPr>
    </w:p>
    <w:p>
      <w:pPr>
        <w:ind w:left="1300" w:right="520" w:firstLine="641"/>
        <w:spacing w:after="0" w:line="301" w:lineRule="auto"/>
        <w:tabs>
          <w:tab w:leader="none" w:pos="273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1" w:lineRule="exact"/>
        <w:rPr>
          <w:rFonts w:ascii="Arial" w:cs="Arial" w:eastAsia="Arial" w:hAnsi="Arial"/>
          <w:sz w:val="18"/>
          <w:szCs w:val="18"/>
          <w:color w:val="auto"/>
        </w:rPr>
      </w:pPr>
    </w:p>
    <w:p>
      <w:pPr>
        <w:ind w:left="1300" w:right="60" w:firstLine="641"/>
        <w:spacing w:after="0" w:line="306" w:lineRule="auto"/>
        <w:tabs>
          <w:tab w:leader="none" w:pos="273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3" w:lineRule="exact"/>
        <w:rPr>
          <w:sz w:val="20"/>
          <w:szCs w:val="20"/>
          <w:color w:val="auto"/>
        </w:rPr>
      </w:pPr>
    </w:p>
    <w:p>
      <w:pPr>
        <w:ind w:left="7760"/>
        <w:spacing w:after="0"/>
        <w:rPr>
          <w:sz w:val="20"/>
          <w:szCs w:val="20"/>
          <w:color w:val="auto"/>
        </w:rPr>
      </w:pPr>
      <w:r>
        <w:rPr>
          <w:rFonts w:ascii="Arial" w:cs="Arial" w:eastAsia="Arial" w:hAnsi="Arial"/>
          <w:sz w:val="17"/>
          <w:szCs w:val="17"/>
          <w:u w:val="single" w:color="auto"/>
          <w:color w:val="auto"/>
        </w:rPr>
        <w:t>/s/ Mark S. Colby_______________________</w:t>
      </w:r>
    </w:p>
    <w:p>
      <w:pPr>
        <w:spacing w:after="0" w:line="19" w:lineRule="exact"/>
        <w:rPr>
          <w:sz w:val="20"/>
          <w:szCs w:val="20"/>
          <w:color w:val="auto"/>
        </w:rPr>
      </w:pPr>
    </w:p>
    <w:p>
      <w:pPr>
        <w:ind w:left="10300"/>
        <w:spacing w:after="0"/>
        <w:rPr>
          <w:sz w:val="20"/>
          <w:szCs w:val="20"/>
          <w:color w:val="auto"/>
        </w:rPr>
      </w:pPr>
      <w:r>
        <w:rPr>
          <w:rFonts w:ascii="Arial" w:cs="Arial" w:eastAsia="Arial" w:hAnsi="Arial"/>
          <w:sz w:val="17"/>
          <w:szCs w:val="17"/>
          <w:color w:val="auto"/>
        </w:rPr>
        <w:t>Mark S. Colby</w:t>
      </w:r>
    </w:p>
    <w:p>
      <w:pPr>
        <w:spacing w:after="0" w:line="19" w:lineRule="exact"/>
        <w:rPr>
          <w:sz w:val="20"/>
          <w:szCs w:val="20"/>
          <w:color w:val="auto"/>
        </w:rPr>
      </w:pPr>
    </w:p>
    <w:p>
      <w:pPr>
        <w:ind w:left="96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77" w:right="239" w:bottom="1440" w:gutter="0" w:footer="0" w:header="0"/>
        </w:sectPr>
      </w:pPr>
    </w:p>
    <w:bookmarkStart w:id="41" w:name="page42"/>
    <w:bookmarkEnd w:id="41"/>
    <w:p>
      <w:pPr>
        <w:spacing w:after="0"/>
        <w:rPr>
          <w:sz w:val="20"/>
          <w:szCs w:val="20"/>
          <w:color w:val="auto"/>
        </w:rPr>
      </w:pPr>
      <w:r>
        <w:rPr>
          <w:rFonts w:ascii="Arial" w:cs="Arial" w:eastAsia="Arial" w:hAnsi="Arial"/>
          <w:sz w:val="21"/>
          <w:szCs w:val="21"/>
          <w:b w:val="1"/>
          <w:bCs w:val="1"/>
          <w:color w:val="auto"/>
        </w:rPr>
        <w:t>Exhibit 32</w:t>
      </w:r>
    </w:p>
    <w:p>
      <w:pPr>
        <w:spacing w:after="0" w:line="228" w:lineRule="exact"/>
        <w:rPr>
          <w:sz w:val="20"/>
          <w:szCs w:val="20"/>
          <w:color w:val="auto"/>
        </w:rPr>
      </w:pPr>
    </w:p>
    <w:p>
      <w:pPr>
        <w:ind w:right="200"/>
        <w:spacing w:after="0" w:line="296" w:lineRule="auto"/>
        <w:rPr>
          <w:sz w:val="20"/>
          <w:szCs w:val="20"/>
          <w:color w:val="auto"/>
        </w:rPr>
      </w:pPr>
      <w:r>
        <w:rPr>
          <w:rFonts w:ascii="Arial" w:cs="Arial" w:eastAsia="Arial" w:hAnsi="Arial"/>
          <w:sz w:val="21"/>
          <w:szCs w:val="21"/>
          <w:b w:val="1"/>
          <w:bCs w:val="1"/>
          <w:color w:val="auto"/>
        </w:rPr>
        <w:t>CERTIFICATION PURSUANT TO 18 U.S.C. SECTION 1350, AS ADOPTED PURSUANT TO SECTION 906 OF THE SARBANES-OXLEY ACT OF 2002</w:t>
      </w:r>
    </w:p>
    <w:p>
      <w:pPr>
        <w:spacing w:after="0" w:line="148" w:lineRule="exact"/>
        <w:rPr>
          <w:sz w:val="20"/>
          <w:szCs w:val="20"/>
          <w:color w:val="auto"/>
        </w:rPr>
      </w:pPr>
    </w:p>
    <w:p>
      <w:pPr>
        <w:ind w:right="200" w:firstLine="645"/>
        <w:spacing w:after="0" w:line="254" w:lineRule="auto"/>
        <w:rPr>
          <w:sz w:val="20"/>
          <w:szCs w:val="20"/>
          <w:color w:val="auto"/>
        </w:rPr>
      </w:pPr>
      <w:r>
        <w:rPr>
          <w:rFonts w:ascii="Arial" w:cs="Arial" w:eastAsia="Arial" w:hAnsi="Arial"/>
          <w:sz w:val="18"/>
          <w:szCs w:val="18"/>
          <w:color w:val="auto"/>
        </w:rPr>
        <w:t>The certification set forth below is being submitted in connection with Goosehead Insurance, Inc.’s Quarterly Report on Form 10-Q for the quarter ended September 30, 2018 (the “Report”) for the purpose of complying with Rule 13a-14(b) or Rule 15d-14(b) of the Securities Exchange Act of 1934 (the “Exchange Act”) and Section 1350 of Chapter 63 of Title 18 of the United States Code.</w:t>
      </w:r>
    </w:p>
    <w:p>
      <w:pPr>
        <w:spacing w:after="0" w:line="202" w:lineRule="exact"/>
        <w:rPr>
          <w:sz w:val="20"/>
          <w:szCs w:val="20"/>
          <w:color w:val="auto"/>
        </w:rPr>
      </w:pPr>
    </w:p>
    <w:p>
      <w:pPr>
        <w:ind w:right="200" w:firstLine="645"/>
        <w:spacing w:after="0" w:line="259" w:lineRule="auto"/>
        <w:rPr>
          <w:sz w:val="20"/>
          <w:szCs w:val="20"/>
          <w:color w:val="auto"/>
        </w:rPr>
      </w:pPr>
      <w:r>
        <w:rPr>
          <w:rFonts w:ascii="Arial" w:cs="Arial" w:eastAsia="Arial" w:hAnsi="Arial"/>
          <w:sz w:val="18"/>
          <w:szCs w:val="18"/>
          <w:color w:val="auto"/>
        </w:rPr>
        <w:t>Mark E. Jones, the Chief Executive Officer and Mark S. Colby, the Chief Financial Officer of Goosehead Insurance, Inc., each certifies that, to the best of his knowledge:</w:t>
      </w:r>
    </w:p>
    <w:p>
      <w:pPr>
        <w:spacing w:after="0" w:line="198" w:lineRule="exact"/>
        <w:rPr>
          <w:sz w:val="20"/>
          <w:szCs w:val="20"/>
          <w:color w:val="auto"/>
        </w:rPr>
      </w:pPr>
    </w:p>
    <w:p>
      <w:pPr>
        <w:ind w:left="1300" w:hanging="64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2" w:lineRule="exact"/>
        <w:rPr>
          <w:rFonts w:ascii="Arial" w:cs="Arial" w:eastAsia="Arial" w:hAnsi="Arial"/>
          <w:sz w:val="18"/>
          <w:szCs w:val="18"/>
          <w:color w:val="auto"/>
        </w:rPr>
      </w:pPr>
    </w:p>
    <w:p>
      <w:pPr>
        <w:ind w:right="260" w:firstLine="652"/>
        <w:spacing w:after="0" w:line="259" w:lineRule="auto"/>
        <w:tabs>
          <w:tab w:leader="none" w:pos="9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Goosehead Insurance,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3" w:lineRule="exact"/>
        <w:rPr>
          <w:sz w:val="20"/>
          <w:szCs w:val="20"/>
          <w:color w:val="auto"/>
        </w:rPr>
      </w:pPr>
    </w:p>
    <w:p>
      <w:pPr>
        <w:ind w:left="7740"/>
        <w:spacing w:after="0"/>
        <w:rPr>
          <w:sz w:val="20"/>
          <w:szCs w:val="20"/>
          <w:color w:val="auto"/>
        </w:rPr>
      </w:pPr>
      <w:r>
        <w:rPr>
          <w:rFonts w:ascii="Arial" w:cs="Arial" w:eastAsia="Arial" w:hAnsi="Arial"/>
          <w:sz w:val="17"/>
          <w:szCs w:val="17"/>
          <w:u w:val="single" w:color="auto"/>
          <w:color w:val="auto"/>
        </w:rPr>
        <w:t>/s/ Mark E. Jones_______________________</w:t>
      </w:r>
    </w:p>
    <w:p>
      <w:pPr>
        <w:spacing w:after="0" w:line="19" w:lineRule="exact"/>
        <w:rPr>
          <w:sz w:val="20"/>
          <w:szCs w:val="20"/>
          <w:color w:val="auto"/>
        </w:rPr>
      </w:pPr>
    </w:p>
    <w:p>
      <w:pPr>
        <w:ind w:left="10280"/>
        <w:spacing w:after="0"/>
        <w:rPr>
          <w:sz w:val="20"/>
          <w:szCs w:val="20"/>
          <w:color w:val="auto"/>
        </w:rPr>
      </w:pPr>
      <w:r>
        <w:rPr>
          <w:rFonts w:ascii="Arial" w:cs="Arial" w:eastAsia="Arial" w:hAnsi="Arial"/>
          <w:sz w:val="17"/>
          <w:szCs w:val="17"/>
          <w:color w:val="auto"/>
        </w:rPr>
        <w:t>Mark E. Jones</w:t>
      </w:r>
    </w:p>
    <w:p>
      <w:pPr>
        <w:spacing w:after="0" w:line="19"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3" w:lineRule="exact"/>
        <w:rPr>
          <w:sz w:val="20"/>
          <w:szCs w:val="20"/>
          <w:color w:val="auto"/>
        </w:rPr>
      </w:pPr>
    </w:p>
    <w:p>
      <w:pPr>
        <w:ind w:left="7760"/>
        <w:spacing w:after="0"/>
        <w:rPr>
          <w:sz w:val="20"/>
          <w:szCs w:val="20"/>
          <w:color w:val="auto"/>
        </w:rPr>
      </w:pPr>
      <w:r>
        <w:rPr>
          <w:rFonts w:ascii="Arial" w:cs="Arial" w:eastAsia="Arial" w:hAnsi="Arial"/>
          <w:sz w:val="17"/>
          <w:szCs w:val="17"/>
          <w:u w:val="single" w:color="auto"/>
          <w:color w:val="auto"/>
        </w:rPr>
        <w:t>/s/ Mark S. Colby_______________________</w:t>
      </w:r>
    </w:p>
    <w:p>
      <w:pPr>
        <w:spacing w:after="0" w:line="19" w:lineRule="exact"/>
        <w:rPr>
          <w:sz w:val="20"/>
          <w:szCs w:val="20"/>
          <w:color w:val="auto"/>
        </w:rPr>
      </w:pPr>
    </w:p>
    <w:p>
      <w:pPr>
        <w:ind w:left="10300"/>
        <w:spacing w:after="0"/>
        <w:rPr>
          <w:sz w:val="20"/>
          <w:szCs w:val="20"/>
          <w:color w:val="auto"/>
        </w:rPr>
      </w:pPr>
      <w:r>
        <w:rPr>
          <w:rFonts w:ascii="Arial" w:cs="Arial" w:eastAsia="Arial" w:hAnsi="Arial"/>
          <w:sz w:val="17"/>
          <w:szCs w:val="17"/>
          <w:color w:val="auto"/>
        </w:rPr>
        <w:t>Mark S. Colby</w:t>
      </w:r>
    </w:p>
    <w:p>
      <w:pPr>
        <w:spacing w:after="0" w:line="19" w:lineRule="exact"/>
        <w:rPr>
          <w:sz w:val="20"/>
          <w:szCs w:val="20"/>
          <w:color w:val="auto"/>
        </w:rPr>
      </w:pPr>
    </w:p>
    <w:p>
      <w:pPr>
        <w:ind w:left="966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4"/>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2019-12-28T18:11:03Z</dcterms:created>
  <dcterms:modified xsi:type="dcterms:W3CDTF">2019-12-28T18:11:03Z</dcterms:modified>
</cp:coreProperties>
</file>