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16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73" w:lineRule="exact"/>
        <w:rPr>
          <w:sz w:val="24"/>
          <w:szCs w:val="24"/>
          <w:color w:val="auto"/>
        </w:rPr>
      </w:pPr>
    </w:p>
    <w:p>
      <w:pPr>
        <w:ind w:left="540" w:hanging="505"/>
        <w:spacing w:after="0"/>
        <w:tabs>
          <w:tab w:leader="none" w:pos="5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2019</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61" w:lineRule="exact"/>
        <w:rPr>
          <w:sz w:val="24"/>
          <w:szCs w:val="24"/>
          <w:color w:val="auto"/>
        </w:rPr>
      </w:pPr>
    </w:p>
    <w:p>
      <w:pPr>
        <w:ind w:left="540" w:hanging="505"/>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 to ______</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001-38466</w:t>
      </w:r>
    </w:p>
    <w:p>
      <w:pPr>
        <w:spacing w:after="0" w:line="1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GOOSEHEAD INSURANCE, INC.</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16" w:lineRule="exact"/>
        <w:rPr>
          <w:sz w:val="24"/>
          <w:szCs w:val="24"/>
          <w:color w:val="auto"/>
        </w:rPr>
      </w:pPr>
    </w:p>
    <w:tbl>
      <w:tblPr>
        <w:tblLayout w:type="fixed"/>
        <w:tblInd w:w="1460" w:type="dxa"/>
        <w:tblCellMar>
          <w:top w:w="0" w:type="dxa"/>
          <w:left w:w="0" w:type="dxa"/>
          <w:bottom w:w="0" w:type="dxa"/>
          <w:right w:w="0" w:type="dxa"/>
        </w:tblCellMar>
      </w:tblPr>
      <w:tr>
        <w:trPr>
          <w:trHeight w:val="212"/>
        </w:trPr>
        <w:tc>
          <w:tcPr>
            <w:tcW w:w="6300" w:type="dxa"/>
            <w:vAlign w:val="bottom"/>
          </w:tcPr>
          <w:p>
            <w:pPr>
              <w:jc w:val="center"/>
              <w:ind w:right="340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34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82-3886022</w:t>
            </w:r>
          </w:p>
        </w:tc>
      </w:tr>
      <w:tr>
        <w:trPr>
          <w:trHeight w:val="186"/>
        </w:trPr>
        <w:tc>
          <w:tcPr>
            <w:tcW w:w="6300" w:type="dxa"/>
            <w:vAlign w:val="bottom"/>
          </w:tcPr>
          <w:p>
            <w:pPr>
              <w:jc w:val="center"/>
              <w:ind w:right="3423"/>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340" w:type="dxa"/>
            <w:vAlign w:val="bottom"/>
          </w:tcPr>
          <w:p>
            <w:pPr>
              <w:jc w:val="center"/>
              <w:ind w:left="204"/>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6300" w:type="dxa"/>
            <w:vAlign w:val="bottom"/>
          </w:tcPr>
          <w:p>
            <w:pPr>
              <w:jc w:val="center"/>
              <w:ind w:right="3403"/>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340" w:type="dxa"/>
            <w:vAlign w:val="bottom"/>
          </w:tcPr>
          <w:p>
            <w:pPr>
              <w:jc w:val="center"/>
              <w:ind w:left="204"/>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24"/>
        </w:trPr>
        <w:tc>
          <w:tcPr>
            <w:tcW w:w="6300" w:type="dxa"/>
            <w:vAlign w:val="bottom"/>
          </w:tcPr>
          <w:p>
            <w:pPr>
              <w:jc w:val="center"/>
              <w:ind w:right="3423"/>
              <w:spacing w:after="0"/>
              <w:rPr>
                <w:sz w:val="20"/>
                <w:szCs w:val="20"/>
                <w:color w:val="auto"/>
              </w:rPr>
            </w:pPr>
            <w:r>
              <w:rPr>
                <w:rFonts w:ascii="Times New Roman" w:cs="Times New Roman" w:eastAsia="Times New Roman" w:hAnsi="Times New Roman"/>
                <w:sz w:val="16"/>
                <w:szCs w:val="16"/>
                <w:b w:val="1"/>
                <w:bCs w:val="1"/>
                <w:color w:val="auto"/>
              </w:rPr>
              <w:t>1500 Solana Blvd, Building 4, Suite 4500</w:t>
            </w:r>
          </w:p>
        </w:tc>
        <w:tc>
          <w:tcPr>
            <w:tcW w:w="1340" w:type="dxa"/>
            <w:vAlign w:val="bottom"/>
          </w:tcPr>
          <w:p>
            <w:pPr>
              <w:spacing w:after="0"/>
              <w:rPr>
                <w:sz w:val="19"/>
                <w:szCs w:val="19"/>
                <w:color w:val="auto"/>
              </w:rPr>
            </w:pPr>
          </w:p>
        </w:tc>
      </w:tr>
      <w:tr>
        <w:trPr>
          <w:trHeight w:val="212"/>
        </w:trPr>
        <w:tc>
          <w:tcPr>
            <w:tcW w:w="6300" w:type="dxa"/>
            <w:vAlign w:val="bottom"/>
          </w:tcPr>
          <w:p>
            <w:pPr>
              <w:jc w:val="center"/>
              <w:ind w:right="3403"/>
              <w:spacing w:after="0"/>
              <w:rPr>
                <w:sz w:val="20"/>
                <w:szCs w:val="20"/>
                <w:color w:val="auto"/>
              </w:rPr>
            </w:pPr>
            <w:r>
              <w:rPr>
                <w:rFonts w:ascii="Times New Roman" w:cs="Times New Roman" w:eastAsia="Times New Roman" w:hAnsi="Times New Roman"/>
                <w:sz w:val="16"/>
                <w:szCs w:val="16"/>
                <w:b w:val="1"/>
                <w:bCs w:val="1"/>
                <w:color w:val="auto"/>
              </w:rPr>
              <w:t>Westlake, TX</w:t>
            </w:r>
          </w:p>
        </w:tc>
        <w:tc>
          <w:tcPr>
            <w:tcW w:w="1340" w:type="dxa"/>
            <w:vAlign w:val="bottom"/>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76262</w:t>
            </w:r>
          </w:p>
        </w:tc>
      </w:tr>
      <w:tr>
        <w:trPr>
          <w:trHeight w:val="226"/>
        </w:trPr>
        <w:tc>
          <w:tcPr>
            <w:tcW w:w="6300" w:type="dxa"/>
            <w:vAlign w:val="bottom"/>
          </w:tcPr>
          <w:p>
            <w:pPr>
              <w:jc w:val="center"/>
              <w:ind w:right="3423"/>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40" w:type="dxa"/>
            <w:vAlign w:val="bottom"/>
          </w:tcPr>
          <w:p>
            <w:pPr>
              <w:jc w:val="center"/>
              <w:ind w:left="204"/>
              <w:spacing w:after="0"/>
              <w:rPr>
                <w:sz w:val="20"/>
                <w:szCs w:val="20"/>
                <w:color w:val="auto"/>
              </w:rPr>
            </w:pPr>
            <w:r>
              <w:rPr>
                <w:rFonts w:ascii="Times New Roman" w:cs="Times New Roman" w:eastAsia="Times New Roman" w:hAnsi="Times New Roman"/>
                <w:sz w:val="14"/>
                <w:szCs w:val="14"/>
                <w:color w:val="auto"/>
              </w:rPr>
              <w:t>(Zip Code)</w:t>
            </w:r>
          </w:p>
        </w:tc>
      </w:tr>
      <w:tr>
        <w:trPr>
          <w:trHeight w:val="392"/>
        </w:trPr>
        <w:tc>
          <w:tcPr>
            <w:tcW w:w="6300" w:type="dxa"/>
            <w:vAlign w:val="bottom"/>
          </w:tcPr>
          <w:p>
            <w:pPr>
              <w:jc w:val="center"/>
              <w:ind w:left="2123"/>
              <w:spacing w:after="0"/>
              <w:rPr>
                <w:sz w:val="20"/>
                <w:szCs w:val="20"/>
                <w:color w:val="auto"/>
              </w:rPr>
            </w:pPr>
            <w:r>
              <w:rPr>
                <w:rFonts w:ascii="Times New Roman" w:cs="Times New Roman" w:eastAsia="Times New Roman" w:hAnsi="Times New Roman"/>
                <w:sz w:val="16"/>
                <w:szCs w:val="16"/>
                <w:b w:val="1"/>
                <w:bCs w:val="1"/>
                <w:color w:val="auto"/>
              </w:rPr>
              <w:t>(214) 838-5500</w:t>
            </w:r>
          </w:p>
        </w:tc>
        <w:tc>
          <w:tcPr>
            <w:tcW w:w="1340" w:type="dxa"/>
            <w:vAlign w:val="bottom"/>
          </w:tcPr>
          <w:p>
            <w:pPr>
              <w:spacing w:after="0"/>
              <w:rPr>
                <w:sz w:val="24"/>
                <w:szCs w:val="24"/>
                <w:color w:val="auto"/>
              </w:rPr>
            </w:pPr>
          </w:p>
        </w:tc>
      </w:tr>
      <w:tr>
        <w:trPr>
          <w:trHeight w:val="188"/>
        </w:trPr>
        <w:tc>
          <w:tcPr>
            <w:tcW w:w="6300" w:type="dxa"/>
            <w:vAlign w:val="bottom"/>
          </w:tcPr>
          <w:p>
            <w:pPr>
              <w:jc w:val="center"/>
              <w:ind w:left="214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340" w:type="dxa"/>
            <w:vAlign w:val="bottom"/>
          </w:tcPr>
          <w:p>
            <w:pPr>
              <w:spacing w:after="0"/>
              <w:rPr>
                <w:sz w:val="16"/>
                <w:szCs w:val="16"/>
                <w:color w:val="auto"/>
              </w:rPr>
            </w:pPr>
          </w:p>
        </w:tc>
      </w:tr>
      <w:tr>
        <w:trPr>
          <w:trHeight w:val="325"/>
        </w:trPr>
        <w:tc>
          <w:tcPr>
            <w:tcW w:w="6300" w:type="dxa"/>
            <w:vAlign w:val="bottom"/>
          </w:tcPr>
          <w:p>
            <w:pPr>
              <w:jc w:val="center"/>
              <w:ind w:left="2143"/>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1340" w:type="dxa"/>
            <w:vAlign w:val="bottom"/>
          </w:tcPr>
          <w:p>
            <w:pPr>
              <w:spacing w:after="0"/>
              <w:rPr>
                <w:sz w:val="24"/>
                <w:szCs w:val="24"/>
                <w:color w:val="auto"/>
              </w:rPr>
            </w:pPr>
          </w:p>
        </w:tc>
      </w:tr>
      <w:tr>
        <w:trPr>
          <w:trHeight w:val="188"/>
        </w:trPr>
        <w:tc>
          <w:tcPr>
            <w:tcW w:w="6300" w:type="dxa"/>
            <w:vAlign w:val="bottom"/>
          </w:tcPr>
          <w:p>
            <w:pPr>
              <w:jc w:val="center"/>
              <w:ind w:left="212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1340" w:type="dxa"/>
            <w:vAlign w:val="bottom"/>
          </w:tcPr>
          <w:p>
            <w:pPr>
              <w:spacing w:after="0"/>
              <w:rPr>
                <w:sz w:val="16"/>
                <w:szCs w:val="16"/>
                <w:color w:val="auto"/>
              </w:rPr>
            </w:pPr>
          </w:p>
        </w:tc>
      </w:tr>
    </w:tbl>
    <w:p>
      <w:pPr>
        <w:spacing w:after="0" w:line="298" w:lineRule="exact"/>
        <w:rPr>
          <w:sz w:val="24"/>
          <w:szCs w:val="24"/>
          <w:color w:val="auto"/>
        </w:rPr>
      </w:pPr>
    </w:p>
    <w:p>
      <w:pPr>
        <w:ind w:right="4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o No</w:t>
      </w:r>
    </w:p>
    <w:p>
      <w:pPr>
        <w:spacing w:after="0" w:line="1" w:lineRule="exact"/>
        <w:rPr>
          <w:sz w:val="24"/>
          <w:szCs w:val="24"/>
          <w:color w:val="auto"/>
        </w:rPr>
      </w:pPr>
    </w:p>
    <w:p>
      <w:pPr>
        <w:ind w:right="160"/>
        <w:spacing w:after="0" w:line="237"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80" w:hanging="172"/>
        <w:spacing w:after="0"/>
        <w:tabs>
          <w:tab w:leader="none" w:pos="1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Yes o No</w:t>
      </w:r>
    </w:p>
    <w:p>
      <w:pPr>
        <w:spacing w:after="0" w:line="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2" w:lineRule="exact"/>
        <w:rPr>
          <w:sz w:val="24"/>
          <w:szCs w:val="24"/>
          <w:color w:val="auto"/>
        </w:rPr>
      </w:pPr>
    </w:p>
    <w:tbl>
      <w:tblPr>
        <w:tblLayout w:type="fixed"/>
        <w:tblInd w:w="40" w:type="dxa"/>
        <w:tblCellMar>
          <w:top w:w="0" w:type="dxa"/>
          <w:left w:w="0" w:type="dxa"/>
          <w:bottom w:w="0" w:type="dxa"/>
          <w:right w:w="0" w:type="dxa"/>
        </w:tblCellMar>
      </w:tblPr>
      <w:tr>
        <w:trPr>
          <w:trHeight w:val="188"/>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w:t>
            </w:r>
          </w:p>
        </w:tc>
        <w:tc>
          <w:tcPr>
            <w:tcW w:w="426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w w:val="85"/>
              </w:rPr>
              <w:t>o</w:t>
            </w:r>
          </w:p>
        </w:tc>
      </w:tr>
      <w:tr>
        <w:trPr>
          <w:trHeight w:val="271"/>
        </w:trPr>
        <w:tc>
          <w:tcPr>
            <w:tcW w:w="15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w:t>
            </w:r>
          </w:p>
        </w:tc>
        <w:tc>
          <w:tcPr>
            <w:tcW w:w="426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jc w:val="center"/>
              <w:ind w:left="208"/>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70"/>
        </w:trPr>
        <w:tc>
          <w:tcPr>
            <w:tcW w:w="156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4260" w:type="dxa"/>
            <w:vAlign w:val="bottom"/>
          </w:tcPr>
          <w:p>
            <w:pPr>
              <w:ind w:left="24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20" w:type="dxa"/>
            <w:vAlign w:val="bottom"/>
          </w:tcPr>
          <w:p>
            <w:pPr>
              <w:jc w:val="center"/>
              <w:ind w:left="208"/>
              <w:spacing w:after="0" w:line="141" w:lineRule="exact"/>
              <w:rPr>
                <w:sz w:val="20"/>
                <w:szCs w:val="20"/>
                <w:color w:val="auto"/>
              </w:rPr>
            </w:pPr>
            <w:r>
              <w:rPr>
                <w:rFonts w:ascii="MS PGothic" w:cs="MS PGothic" w:eastAsia="MS PGothic" w:hAnsi="MS PGothic"/>
                <w:sz w:val="14"/>
                <w:szCs w:val="14"/>
                <w:color w:val="auto"/>
                <w:w w:val="99"/>
              </w:rPr>
              <w:t>☑</w:t>
            </w:r>
          </w:p>
        </w:tc>
      </w:tr>
    </w:tbl>
    <w:p>
      <w:pPr>
        <w:ind w:right="100"/>
        <w:spacing w:after="0" w:line="239"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o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6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294"/>
        </w:trPr>
        <w:tc>
          <w:tcPr>
            <w:tcW w:w="20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80" w:type="dxa"/>
            <w:vAlign w:val="bottom"/>
            <w:gridSpan w:val="2"/>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20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64"/>
        </w:trPr>
        <w:tc>
          <w:tcPr>
            <w:tcW w:w="4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Class A Common Stock, par value $.01 per share</w:t>
            </w:r>
          </w:p>
        </w:tc>
        <w:tc>
          <w:tcPr>
            <w:tcW w:w="1000" w:type="dxa"/>
            <w:vAlign w:val="bottom"/>
          </w:tcPr>
          <w:p>
            <w:pPr>
              <w:spacing w:after="0"/>
              <w:rPr>
                <w:sz w:val="22"/>
                <w:szCs w:val="22"/>
                <w:color w:val="auto"/>
              </w:rPr>
            </w:pPr>
          </w:p>
        </w:tc>
        <w:tc>
          <w:tcPr>
            <w:tcW w:w="17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GSHD</w:t>
            </w:r>
          </w:p>
        </w:tc>
        <w:tc>
          <w:tcPr>
            <w:tcW w:w="560" w:type="dxa"/>
            <w:vAlign w:val="bottom"/>
          </w:tcPr>
          <w:p>
            <w:pPr>
              <w:spacing w:after="0"/>
              <w:rPr>
                <w:sz w:val="22"/>
                <w:szCs w:val="2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2, 2019, there were 14,795,584 shares of Class A common stock outstanding and 21,489,793 shares of Class B common stock outstanding.</w:t>
      </w:r>
    </w:p>
    <w:p>
      <w:pPr>
        <w:sectPr>
          <w:pgSz w:w="11900" w:h="16838" w:orient="portrait"/>
          <w:cols w:equalWidth="0" w:num="1">
            <w:col w:w="11360"/>
          </w:cols>
          <w:pgMar w:left="240" w:top="225" w:right="299" w:bottom="1440" w:gutter="0" w:footer="0" w:header="0"/>
        </w:sectPr>
      </w:pPr>
    </w:p>
    <w:bookmarkStart w:id="1" w:name="page2"/>
    <w:bookmarkEnd w:id="1"/>
    <w:p>
      <w:pPr>
        <w:spacing w:after="0"/>
        <w:rPr>
          <w:sz w:val="20"/>
          <w:szCs w:val="20"/>
          <w:color w:val="auto"/>
        </w:rPr>
      </w:pPr>
      <w:r>
        <w:rPr>
          <w:rFonts w:ascii="Arial" w:cs="Arial" w:eastAsia="Arial" w:hAnsi="Arial"/>
          <w:sz w:val="32"/>
          <w:szCs w:val="32"/>
          <w:b w:val="1"/>
          <w:bCs w:val="1"/>
          <w:color w:val="auto"/>
        </w:rPr>
        <w:t>Table of contents</w:t>
      </w:r>
    </w:p>
    <w:p>
      <w:pPr>
        <w:spacing w:after="0" w:line="200" w:lineRule="exact"/>
        <w:rPr>
          <w:sz w:val="20"/>
          <w:szCs w:val="20"/>
          <w:color w:val="auto"/>
        </w:rPr>
      </w:pP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218"/>
        </w:trPr>
        <w:tc>
          <w:tcPr>
            <w:tcW w:w="1180" w:type="dxa"/>
            <w:vAlign w:val="bottom"/>
            <w:gridSpan w:val="4"/>
          </w:tcPr>
          <w:p>
            <w:pPr>
              <w:spacing w:after="0"/>
              <w:rPr>
                <w:sz w:val="20"/>
                <w:szCs w:val="20"/>
                <w:color w:val="auto"/>
              </w:rPr>
            </w:pPr>
            <w:r>
              <w:rPr>
                <w:rFonts w:ascii="Arial" w:cs="Arial" w:eastAsia="Arial" w:hAnsi="Arial"/>
                <w:sz w:val="18"/>
                <w:szCs w:val="18"/>
                <w:b w:val="1"/>
                <w:bCs w:val="1"/>
                <w:color w:val="auto"/>
              </w:rPr>
              <w:t>Part I</w:t>
            </w:r>
          </w:p>
        </w:tc>
        <w:tc>
          <w:tcPr>
            <w:tcW w:w="8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180" w:type="dxa"/>
            <w:vAlign w:val="bottom"/>
            <w:gridSpan w:val="4"/>
          </w:tcPr>
          <w:p>
            <w:pPr>
              <w:ind w:left="140"/>
              <w:spacing w:after="0"/>
              <w:rPr>
                <w:sz w:val="20"/>
                <w:szCs w:val="20"/>
                <w:color w:val="auto"/>
              </w:rPr>
            </w:pPr>
            <w:r>
              <w:rPr>
                <w:rFonts w:ascii="Arial" w:cs="Arial" w:eastAsia="Arial" w:hAnsi="Arial"/>
                <w:sz w:val="18"/>
                <w:szCs w:val="18"/>
                <w:color w:val="auto"/>
              </w:rPr>
              <w:t>Item 1.</w:t>
            </w:r>
          </w:p>
        </w:tc>
        <w:tc>
          <w:tcPr>
            <w:tcW w:w="8160" w:type="dxa"/>
            <w:vAlign w:val="bottom"/>
          </w:tcPr>
          <w:p>
            <w:pPr>
              <w:spacing w:after="0"/>
              <w:rPr>
                <w:sz w:val="20"/>
                <w:szCs w:val="20"/>
                <w:color w:val="auto"/>
              </w:rPr>
            </w:pPr>
            <w:r>
              <w:rPr>
                <w:rFonts w:ascii="Arial" w:cs="Arial" w:eastAsia="Arial" w:hAnsi="Arial"/>
                <w:sz w:val="18"/>
                <w:szCs w:val="18"/>
                <w:color w:val="auto"/>
              </w:rPr>
              <w:t>Condensed Consolidated Financial Statements (Unaudited)</w:t>
            </w:r>
          </w:p>
        </w:tc>
        <w:tc>
          <w:tcPr>
            <w:tcW w:w="1300" w:type="dxa"/>
            <w:vAlign w:val="bottom"/>
            <w:gridSpan w:val="2"/>
          </w:tcPr>
          <w:p>
            <w:pPr>
              <w:spacing w:after="0"/>
              <w:rPr>
                <w:sz w:val="20"/>
                <w:szCs w:val="20"/>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37"/>
        </w:trPr>
        <w:tc>
          <w:tcPr>
            <w:tcW w:w="1180" w:type="dxa"/>
            <w:vAlign w:val="bottom"/>
            <w:gridSpan w:val="4"/>
          </w:tcPr>
          <w:p>
            <w:pPr>
              <w:ind w:left="140"/>
              <w:spacing w:after="0"/>
              <w:rPr>
                <w:sz w:val="20"/>
                <w:szCs w:val="20"/>
                <w:color w:val="auto"/>
              </w:rPr>
            </w:pPr>
            <w:r>
              <w:rPr>
                <w:rFonts w:ascii="Arial" w:cs="Arial" w:eastAsia="Arial" w:hAnsi="Arial"/>
                <w:sz w:val="18"/>
                <w:szCs w:val="18"/>
                <w:color w:val="auto"/>
              </w:rPr>
              <w:t>Item 2.</w:t>
            </w:r>
          </w:p>
        </w:tc>
        <w:tc>
          <w:tcPr>
            <w:tcW w:w="816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0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r>
      <w:tr>
        <w:trPr>
          <w:trHeight w:val="237"/>
        </w:trPr>
        <w:tc>
          <w:tcPr>
            <w:tcW w:w="1180" w:type="dxa"/>
            <w:vAlign w:val="bottom"/>
            <w:gridSpan w:val="4"/>
          </w:tcPr>
          <w:p>
            <w:pPr>
              <w:ind w:left="140"/>
              <w:spacing w:after="0"/>
              <w:rPr>
                <w:sz w:val="20"/>
                <w:szCs w:val="20"/>
                <w:color w:val="auto"/>
              </w:rPr>
            </w:pPr>
            <w:r>
              <w:rPr>
                <w:rFonts w:ascii="Arial" w:cs="Arial" w:eastAsia="Arial" w:hAnsi="Arial"/>
                <w:sz w:val="18"/>
                <w:szCs w:val="18"/>
                <w:color w:val="auto"/>
              </w:rPr>
              <w:t>Item 3.</w:t>
            </w:r>
          </w:p>
        </w:tc>
        <w:tc>
          <w:tcPr>
            <w:tcW w:w="8160" w:type="dxa"/>
            <w:vAlign w:val="bottom"/>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120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33</w:t>
              </w:r>
            </w:hyperlink>
          </w:p>
        </w:tc>
      </w:tr>
      <w:tr>
        <w:trPr>
          <w:trHeight w:val="237"/>
        </w:trPr>
        <w:tc>
          <w:tcPr>
            <w:tcW w:w="1180" w:type="dxa"/>
            <w:vAlign w:val="bottom"/>
            <w:gridSpan w:val="4"/>
          </w:tcPr>
          <w:p>
            <w:pPr>
              <w:ind w:left="140"/>
              <w:spacing w:after="0"/>
              <w:rPr>
                <w:sz w:val="20"/>
                <w:szCs w:val="20"/>
                <w:color w:val="auto"/>
              </w:rPr>
            </w:pPr>
            <w:r>
              <w:rPr>
                <w:rFonts w:ascii="Arial" w:cs="Arial" w:eastAsia="Arial" w:hAnsi="Arial"/>
                <w:sz w:val="18"/>
                <w:szCs w:val="18"/>
                <w:color w:val="auto"/>
              </w:rPr>
              <w:t>Item 4.</w:t>
            </w:r>
          </w:p>
        </w:tc>
        <w:tc>
          <w:tcPr>
            <w:tcW w:w="8160" w:type="dxa"/>
            <w:vAlign w:val="bottom"/>
          </w:tcPr>
          <w:p>
            <w:pPr>
              <w:spacing w:after="0"/>
              <w:rPr>
                <w:sz w:val="20"/>
                <w:szCs w:val="20"/>
                <w:color w:val="auto"/>
              </w:rPr>
            </w:pPr>
            <w:r>
              <w:rPr>
                <w:rFonts w:ascii="Arial" w:cs="Arial" w:eastAsia="Arial" w:hAnsi="Arial"/>
                <w:sz w:val="18"/>
                <w:szCs w:val="18"/>
                <w:color w:val="auto"/>
              </w:rPr>
              <w:t>Controls and Procedures</w:t>
            </w:r>
          </w:p>
        </w:tc>
        <w:tc>
          <w:tcPr>
            <w:tcW w:w="140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574"/>
        </w:trPr>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5"/>
              </w:rPr>
              <w:t>Part II</w:t>
            </w:r>
          </w:p>
        </w:tc>
        <w:tc>
          <w:tcPr>
            <w:tcW w:w="680" w:type="dxa"/>
            <w:vAlign w:val="bottom"/>
            <w:gridSpan w:val="2"/>
          </w:tcPr>
          <w:p>
            <w:pPr>
              <w:spacing w:after="0"/>
              <w:rPr>
                <w:sz w:val="24"/>
                <w:szCs w:val="24"/>
                <w:color w:val="auto"/>
              </w:rPr>
            </w:pPr>
          </w:p>
        </w:tc>
        <w:tc>
          <w:tcPr>
            <w:tcW w:w="8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37"/>
        </w:trPr>
        <w:tc>
          <w:tcPr>
            <w:tcW w:w="1180" w:type="dxa"/>
            <w:vAlign w:val="bottom"/>
            <w:gridSpan w:val="4"/>
          </w:tcPr>
          <w:p>
            <w:pPr>
              <w:ind w:left="140"/>
              <w:spacing w:after="0"/>
              <w:rPr>
                <w:sz w:val="20"/>
                <w:szCs w:val="20"/>
                <w:color w:val="auto"/>
              </w:rPr>
            </w:pPr>
            <w:r>
              <w:rPr>
                <w:rFonts w:ascii="Arial" w:cs="Arial" w:eastAsia="Arial" w:hAnsi="Arial"/>
                <w:sz w:val="18"/>
                <w:szCs w:val="18"/>
                <w:color w:val="auto"/>
              </w:rPr>
              <w:t>Item 1.</w:t>
            </w:r>
          </w:p>
        </w:tc>
        <w:tc>
          <w:tcPr>
            <w:tcW w:w="8160" w:type="dxa"/>
            <w:vAlign w:val="bottom"/>
          </w:tcPr>
          <w:p>
            <w:pPr>
              <w:spacing w:after="0"/>
              <w:rPr>
                <w:sz w:val="20"/>
                <w:szCs w:val="20"/>
                <w:color w:val="auto"/>
              </w:rPr>
            </w:pPr>
            <w:r>
              <w:rPr>
                <w:rFonts w:ascii="Arial" w:cs="Arial" w:eastAsia="Arial" w:hAnsi="Arial"/>
                <w:sz w:val="18"/>
                <w:szCs w:val="18"/>
                <w:color w:val="auto"/>
              </w:rPr>
              <w:t>Legal Matters</w:t>
            </w:r>
          </w:p>
        </w:tc>
        <w:tc>
          <w:tcPr>
            <w:tcW w:w="120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r>
      <w:tr>
        <w:trPr>
          <w:trHeight w:val="237"/>
        </w:trPr>
        <w:tc>
          <w:tcPr>
            <w:tcW w:w="1180" w:type="dxa"/>
            <w:vAlign w:val="bottom"/>
            <w:gridSpan w:val="4"/>
          </w:tcPr>
          <w:p>
            <w:pPr>
              <w:ind w:left="140"/>
              <w:spacing w:after="0"/>
              <w:rPr>
                <w:sz w:val="20"/>
                <w:szCs w:val="20"/>
                <w:color w:val="auto"/>
              </w:rPr>
            </w:pPr>
            <w:r>
              <w:rPr>
                <w:rFonts w:ascii="Arial" w:cs="Arial" w:eastAsia="Arial" w:hAnsi="Arial"/>
                <w:sz w:val="18"/>
                <w:szCs w:val="18"/>
                <w:color w:val="auto"/>
              </w:rPr>
              <w:t>Item 1A.</w:t>
            </w:r>
          </w:p>
        </w:tc>
        <w:tc>
          <w:tcPr>
            <w:tcW w:w="8160" w:type="dxa"/>
            <w:vAlign w:val="bottom"/>
          </w:tcPr>
          <w:p>
            <w:pPr>
              <w:spacing w:after="0"/>
              <w:rPr>
                <w:sz w:val="20"/>
                <w:szCs w:val="20"/>
                <w:color w:val="auto"/>
              </w:rPr>
            </w:pPr>
            <w:r>
              <w:rPr>
                <w:rFonts w:ascii="Arial" w:cs="Arial" w:eastAsia="Arial" w:hAnsi="Arial"/>
                <w:sz w:val="18"/>
                <w:szCs w:val="18"/>
                <w:color w:val="auto"/>
              </w:rPr>
              <w:t>Risk Factors</w:t>
            </w:r>
          </w:p>
        </w:tc>
        <w:tc>
          <w:tcPr>
            <w:tcW w:w="120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r>
      <w:tr>
        <w:trPr>
          <w:trHeight w:val="237"/>
        </w:trPr>
        <w:tc>
          <w:tcPr>
            <w:tcW w:w="1180" w:type="dxa"/>
            <w:vAlign w:val="bottom"/>
            <w:gridSpan w:val="4"/>
          </w:tcPr>
          <w:p>
            <w:pPr>
              <w:ind w:left="140"/>
              <w:spacing w:after="0"/>
              <w:rPr>
                <w:sz w:val="20"/>
                <w:szCs w:val="20"/>
                <w:color w:val="auto"/>
              </w:rPr>
            </w:pPr>
            <w:r>
              <w:rPr>
                <w:rFonts w:ascii="Arial" w:cs="Arial" w:eastAsia="Arial" w:hAnsi="Arial"/>
                <w:sz w:val="18"/>
                <w:szCs w:val="18"/>
                <w:color w:val="auto"/>
              </w:rPr>
              <w:t>Item 2.</w:t>
            </w:r>
          </w:p>
        </w:tc>
        <w:tc>
          <w:tcPr>
            <w:tcW w:w="8160" w:type="dxa"/>
            <w:vAlign w:val="bottom"/>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120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r>
      <w:tr>
        <w:trPr>
          <w:trHeight w:val="237"/>
        </w:trPr>
        <w:tc>
          <w:tcPr>
            <w:tcW w:w="1180" w:type="dxa"/>
            <w:vAlign w:val="bottom"/>
            <w:gridSpan w:val="4"/>
          </w:tcPr>
          <w:p>
            <w:pPr>
              <w:ind w:left="140"/>
              <w:spacing w:after="0"/>
              <w:rPr>
                <w:sz w:val="20"/>
                <w:szCs w:val="20"/>
                <w:color w:val="auto"/>
              </w:rPr>
            </w:pPr>
            <w:r>
              <w:rPr>
                <w:rFonts w:ascii="Arial" w:cs="Arial" w:eastAsia="Arial" w:hAnsi="Arial"/>
                <w:sz w:val="18"/>
                <w:szCs w:val="18"/>
                <w:color w:val="auto"/>
              </w:rPr>
              <w:t>Item 3.</w:t>
            </w:r>
          </w:p>
        </w:tc>
        <w:tc>
          <w:tcPr>
            <w:tcW w:w="8160" w:type="dxa"/>
            <w:vAlign w:val="bottom"/>
          </w:tcPr>
          <w:p>
            <w:pPr>
              <w:spacing w:after="0"/>
              <w:rPr>
                <w:sz w:val="20"/>
                <w:szCs w:val="20"/>
                <w:color w:val="auto"/>
              </w:rPr>
            </w:pPr>
            <w:r>
              <w:rPr>
                <w:rFonts w:ascii="Arial" w:cs="Arial" w:eastAsia="Arial" w:hAnsi="Arial"/>
                <w:sz w:val="18"/>
                <w:szCs w:val="18"/>
                <w:color w:val="auto"/>
              </w:rPr>
              <w:t>Defaults Upon Senior Securities</w:t>
            </w:r>
          </w:p>
        </w:tc>
        <w:tc>
          <w:tcPr>
            <w:tcW w:w="120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r>
      <w:tr>
        <w:trPr>
          <w:trHeight w:val="237"/>
        </w:trPr>
        <w:tc>
          <w:tcPr>
            <w:tcW w:w="1180" w:type="dxa"/>
            <w:vAlign w:val="bottom"/>
            <w:gridSpan w:val="4"/>
          </w:tcPr>
          <w:p>
            <w:pPr>
              <w:ind w:left="140"/>
              <w:spacing w:after="0"/>
              <w:rPr>
                <w:sz w:val="20"/>
                <w:szCs w:val="20"/>
                <w:color w:val="auto"/>
              </w:rPr>
            </w:pPr>
            <w:r>
              <w:rPr>
                <w:rFonts w:ascii="Arial" w:cs="Arial" w:eastAsia="Arial" w:hAnsi="Arial"/>
                <w:sz w:val="18"/>
                <w:szCs w:val="18"/>
                <w:color w:val="auto"/>
              </w:rPr>
              <w:t>Item 4.</w:t>
            </w:r>
          </w:p>
        </w:tc>
        <w:tc>
          <w:tcPr>
            <w:tcW w:w="8160" w:type="dxa"/>
            <w:vAlign w:val="bottom"/>
          </w:tcPr>
          <w:p>
            <w:pPr>
              <w:spacing w:after="0"/>
              <w:rPr>
                <w:sz w:val="20"/>
                <w:szCs w:val="20"/>
                <w:color w:val="auto"/>
              </w:rPr>
            </w:pPr>
            <w:r>
              <w:rPr>
                <w:rFonts w:ascii="Arial" w:cs="Arial" w:eastAsia="Arial" w:hAnsi="Arial"/>
                <w:sz w:val="18"/>
                <w:szCs w:val="18"/>
                <w:color w:val="auto"/>
              </w:rPr>
              <w:t>Mine Safety</w:t>
            </w:r>
          </w:p>
        </w:tc>
        <w:tc>
          <w:tcPr>
            <w:tcW w:w="120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r>
      <w:tr>
        <w:trPr>
          <w:trHeight w:val="237"/>
        </w:trPr>
        <w:tc>
          <w:tcPr>
            <w:tcW w:w="1180" w:type="dxa"/>
            <w:vAlign w:val="bottom"/>
            <w:gridSpan w:val="4"/>
          </w:tcPr>
          <w:p>
            <w:pPr>
              <w:ind w:left="140"/>
              <w:spacing w:after="0"/>
              <w:rPr>
                <w:sz w:val="20"/>
                <w:szCs w:val="20"/>
                <w:color w:val="auto"/>
              </w:rPr>
            </w:pPr>
            <w:r>
              <w:rPr>
                <w:rFonts w:ascii="Arial" w:cs="Arial" w:eastAsia="Arial" w:hAnsi="Arial"/>
                <w:sz w:val="18"/>
                <w:szCs w:val="18"/>
                <w:color w:val="auto"/>
              </w:rPr>
              <w:t>Item 5.</w:t>
            </w:r>
          </w:p>
        </w:tc>
        <w:tc>
          <w:tcPr>
            <w:tcW w:w="8160" w:type="dxa"/>
            <w:vAlign w:val="bottom"/>
          </w:tcPr>
          <w:p>
            <w:pPr>
              <w:spacing w:after="0"/>
              <w:rPr>
                <w:sz w:val="20"/>
                <w:szCs w:val="20"/>
                <w:color w:val="auto"/>
              </w:rPr>
            </w:pPr>
            <w:r>
              <w:rPr>
                <w:rFonts w:ascii="Arial" w:cs="Arial" w:eastAsia="Arial" w:hAnsi="Arial"/>
                <w:sz w:val="18"/>
                <w:szCs w:val="18"/>
                <w:color w:val="auto"/>
              </w:rPr>
              <w:t>Other Information</w:t>
            </w:r>
          </w:p>
        </w:tc>
        <w:tc>
          <w:tcPr>
            <w:tcW w:w="120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34</w:t>
              </w:r>
            </w:hyperlink>
          </w:p>
        </w:tc>
      </w:tr>
      <w:tr>
        <w:trPr>
          <w:trHeight w:val="237"/>
        </w:trPr>
        <w:tc>
          <w:tcPr>
            <w:tcW w:w="1180" w:type="dxa"/>
            <w:vAlign w:val="bottom"/>
            <w:gridSpan w:val="4"/>
          </w:tcPr>
          <w:p>
            <w:pPr>
              <w:ind w:left="140"/>
              <w:spacing w:after="0"/>
              <w:rPr>
                <w:sz w:val="20"/>
                <w:szCs w:val="20"/>
                <w:color w:val="auto"/>
              </w:rPr>
            </w:pPr>
            <w:r>
              <w:rPr>
                <w:rFonts w:ascii="Arial" w:cs="Arial" w:eastAsia="Arial" w:hAnsi="Arial"/>
                <w:sz w:val="18"/>
                <w:szCs w:val="18"/>
                <w:color w:val="auto"/>
              </w:rPr>
              <w:t>Item 6.</w:t>
            </w:r>
          </w:p>
        </w:tc>
        <w:tc>
          <w:tcPr>
            <w:tcW w:w="8160" w:type="dxa"/>
            <w:vAlign w:val="bottom"/>
          </w:tcPr>
          <w:p>
            <w:pPr>
              <w:spacing w:after="0"/>
              <w:rPr>
                <w:sz w:val="20"/>
                <w:szCs w:val="20"/>
                <w:color w:val="auto"/>
              </w:rPr>
            </w:pPr>
            <w:r>
              <w:rPr>
                <w:rFonts w:ascii="Arial" w:cs="Arial" w:eastAsia="Arial" w:hAnsi="Arial"/>
                <w:sz w:val="18"/>
                <w:szCs w:val="18"/>
                <w:color w:val="auto"/>
              </w:rPr>
              <w:t>Exhibits</w:t>
            </w:r>
          </w:p>
        </w:tc>
        <w:tc>
          <w:tcPr>
            <w:tcW w:w="1200" w:type="dxa"/>
            <w:vAlign w:val="bottom"/>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35</w:t>
              </w:r>
            </w:hyperlink>
          </w:p>
        </w:tc>
      </w:tr>
      <w:tr>
        <w:trPr>
          <w:trHeight w:val="561"/>
        </w:trPr>
        <w:tc>
          <w:tcPr>
            <w:tcW w:w="1180" w:type="dxa"/>
            <w:vAlign w:val="bottom"/>
            <w:gridSpan w:val="4"/>
          </w:tcPr>
          <w:p>
            <w:pPr>
              <w:spacing w:after="0"/>
              <w:rPr>
                <w:rFonts w:ascii="Arial" w:cs="Arial" w:eastAsia="Arial" w:hAnsi="Arial"/>
                <w:sz w:val="18"/>
                <w:szCs w:val="18"/>
                <w:b w:val="1"/>
                <w:bCs w:val="1"/>
                <w:color w:val="auto"/>
                <w:w w:val="98"/>
              </w:rPr>
            </w:pPr>
            <w:hyperlink w:anchor="page35">
              <w:r>
                <w:rPr>
                  <w:rFonts w:ascii="Arial" w:cs="Arial" w:eastAsia="Arial" w:hAnsi="Arial"/>
                  <w:sz w:val="18"/>
                  <w:szCs w:val="18"/>
                  <w:b w:val="1"/>
                  <w:bCs w:val="1"/>
                  <w:color w:val="auto"/>
                  <w:w w:val="98"/>
                </w:rPr>
                <w:t>SIGNATURES</w:t>
              </w:r>
            </w:hyperlink>
          </w:p>
        </w:tc>
        <w:tc>
          <w:tcPr>
            <w:tcW w:w="8160" w:type="dxa"/>
            <w:vAlign w:val="bottom"/>
          </w:tcPr>
          <w:p>
            <w:pPr>
              <w:spacing w:after="0"/>
              <w:rPr>
                <w:sz w:val="24"/>
                <w:szCs w:val="24"/>
                <w:color w:val="auto"/>
              </w:rPr>
            </w:pPr>
          </w:p>
        </w:tc>
        <w:tc>
          <w:tcPr>
            <w:tcW w:w="140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835"/>
        </w:trPr>
        <w:tc>
          <w:tcPr>
            <w:tcW w:w="4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160" w:type="dxa"/>
            <w:vAlign w:val="bottom"/>
          </w:tcPr>
          <w:p>
            <w:pPr>
              <w:ind w:left="4440"/>
              <w:spacing w:after="0"/>
              <w:rPr>
                <w:sz w:val="20"/>
                <w:szCs w:val="20"/>
                <w:color w:val="auto"/>
              </w:rPr>
            </w:pPr>
            <w:r>
              <w:rPr>
                <w:rFonts w:ascii="Arial" w:cs="Arial" w:eastAsia="Arial" w:hAnsi="Arial"/>
                <w:sz w:val="18"/>
                <w:szCs w:val="18"/>
                <w:color w:val="auto"/>
              </w:rPr>
              <w:t>2</w:t>
            </w:r>
          </w:p>
        </w:tc>
        <w:tc>
          <w:tcPr>
            <w:tcW w:w="12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780"/>
          </w:cols>
          <w:pgMar w:left="240" w:top="556" w:right="8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Commonly used defined terms</w:t>
      </w:r>
    </w:p>
    <w:p>
      <w:pPr>
        <w:spacing w:after="0" w:line="112"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As used in this Quarterly Report on Form 10-Q ("Form 10-Q"), unless the context indicates or otherwise requires, the following terms have the following meanings:</w:t>
      </w:r>
    </w:p>
    <w:p>
      <w:pPr>
        <w:spacing w:after="0" w:line="50"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Agency Fees: Fees separate from commissions charged directly to clients for efforts performed in the issuance of new insurance policies.</w:t>
      </w:r>
    </w:p>
    <w:p>
      <w:pPr>
        <w:spacing w:after="0" w:line="31"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Carrier: An insurance company.</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Carrier Appointment: A contractual relationship with a Carrier.</w:t>
      </w:r>
    </w:p>
    <w:p>
      <w:pPr>
        <w:spacing w:after="0" w:line="9" w:lineRule="exact"/>
        <w:rPr>
          <w:rFonts w:ascii="Arial" w:cs="Arial" w:eastAsia="Arial" w:hAnsi="Arial"/>
          <w:sz w:val="18"/>
          <w:szCs w:val="18"/>
          <w:color w:val="auto"/>
        </w:rPr>
      </w:pPr>
    </w:p>
    <w:p>
      <w:pPr>
        <w:ind w:left="280" w:right="200" w:hanging="272"/>
        <w:spacing w:after="0" w:line="250"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Client Retention: Calculated by comparing the number of all clients that had at least one policy in force twelve months prior to the date of measurement and still have at least one policy in force at the date of measurement.</w:t>
      </w:r>
    </w:p>
    <w:p>
      <w:pPr>
        <w:ind w:left="280" w:right="60" w:hanging="272"/>
        <w:spacing w:after="0" w:line="250"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Contingent Commission: Revenue in the form of contractual payments from Carriers contingent upon several factors, including growth and profitability of the business placed with the Carrier.</w:t>
      </w:r>
    </w:p>
    <w:p>
      <w:pPr>
        <w:ind w:left="280" w:right="460" w:hanging="272"/>
        <w:spacing w:after="0" w:line="250"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Channel: The Corporate Channel distributes insurance through a network of company-owned and financed operations with employees that are hired, trained and managed by Goosehead.</w:t>
      </w:r>
    </w:p>
    <w:p>
      <w:pPr>
        <w:ind w:left="280" w:right="440" w:hanging="272"/>
        <w:spacing w:after="0" w:line="250"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Channel Adjusted EBITDA: Segment earnings before interest, income taxes, depreciation and amortization allocable to the Corporate Channel, adjusted to exclude equity-based compensation.</w:t>
      </w: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Franchise Agreement: Agreements governing our relationships with Franchisees.</w:t>
      </w:r>
    </w:p>
    <w:p>
      <w:pPr>
        <w:spacing w:after="0" w:line="9" w:lineRule="exact"/>
        <w:rPr>
          <w:rFonts w:ascii="Arial" w:cs="Arial" w:eastAsia="Arial" w:hAnsi="Arial"/>
          <w:sz w:val="18"/>
          <w:szCs w:val="18"/>
          <w:color w:val="auto"/>
        </w:rPr>
      </w:pPr>
    </w:p>
    <w:p>
      <w:pPr>
        <w:ind w:left="280" w:hanging="272"/>
        <w:spacing w:after="0" w:line="250"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Franchise Channel: The Franchise Channel network consists of Franchisee operations that are owned and managed by Franchisees. These business owners have a contractual relationship with Goosehead to use our processes, training, implementation, systems and back-office support team to place insurance. In exchange, Goosehead is entitled to an Initial Franchise Fee and Royalty Fees.</w:t>
      </w:r>
    </w:p>
    <w:p>
      <w:pPr>
        <w:spacing w:after="0" w:line="1" w:lineRule="exact"/>
        <w:rPr>
          <w:rFonts w:ascii="Arial" w:cs="Arial" w:eastAsia="Arial" w:hAnsi="Arial"/>
          <w:sz w:val="18"/>
          <w:szCs w:val="18"/>
          <w:color w:val="auto"/>
        </w:rPr>
      </w:pPr>
    </w:p>
    <w:p>
      <w:pPr>
        <w:ind w:left="280" w:right="60" w:hanging="272"/>
        <w:spacing w:after="0" w:line="250"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Franchise Channel Adjusted EBITDA: Segment earnings before interest, income taxes, depreciation and amortization, adjusted to exclude other non-operating items allocable to the Franchise Channel and equity-based compensation.</w:t>
      </w: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Franchisee: An individual or entity who has entered into a Franchise Agreement with us.</w:t>
      </w:r>
    </w:p>
    <w:p>
      <w:pPr>
        <w:spacing w:after="0" w:line="9" w:lineRule="exact"/>
        <w:rPr>
          <w:rFonts w:ascii="Arial" w:cs="Arial" w:eastAsia="Arial" w:hAnsi="Arial"/>
          <w:sz w:val="18"/>
          <w:szCs w:val="18"/>
          <w:color w:val="auto"/>
        </w:rPr>
      </w:pPr>
    </w:p>
    <w:p>
      <w:pPr>
        <w:ind w:left="280" w:right="340" w:hanging="272"/>
        <w:spacing w:after="0" w:line="250"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Initial Franchise Fee: Contracted fees paid by Franchisees to compensate Goosehead for the training and onboarding of new franchise locations.</w:t>
      </w: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GF: Goosehead Financial, LLC.</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GM: Goosehead Management, LLC.</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LLC Unit: a limited liability company unit of Goosehead Financial, LLC.</w:t>
      </w:r>
    </w:p>
    <w:p>
      <w:pPr>
        <w:spacing w:after="0" w:line="9" w:lineRule="exact"/>
        <w:rPr>
          <w:rFonts w:ascii="Arial" w:cs="Arial" w:eastAsia="Arial" w:hAnsi="Arial"/>
          <w:sz w:val="18"/>
          <w:szCs w:val="18"/>
          <w:color w:val="auto"/>
        </w:rPr>
      </w:pPr>
    </w:p>
    <w:p>
      <w:pPr>
        <w:ind w:left="280" w:right="640" w:hanging="272"/>
        <w:spacing w:after="0" w:line="250"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Business Revenue: Commissions received from Carriers, Agency Fees received from clients, and Royalty Fees received from Franchisees relating to policies in their first term.</w:t>
      </w:r>
    </w:p>
    <w:p>
      <w:pPr>
        <w:ind w:left="280" w:right="180" w:hanging="272"/>
        <w:spacing w:after="0" w:line="250"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Business Revenue (Corporate): Commissions received from Carriers and Agency Fees charged to clients relating to policies in their first term sold in the Corporate Channel.</w:t>
      </w:r>
    </w:p>
    <w:p>
      <w:pPr>
        <w:ind w:left="280" w:right="180" w:hanging="272"/>
        <w:spacing w:after="0" w:line="250"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NPS: Net Promoter Score is calculated based on a single question: “How likely are you to refer Goosehead Insurance to a friend, family member or colleague?” Customers that respond with a 6 or below are Detractors, a score of 7 or 8 are called Passives, and a 9 or 10 are Promoters. NPS is calculated by subtracting the percentage of Detractors from the percentage of Promoters.</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Policies in Force: As of any reported date, the total count of current (non-cancelled) policies placed by us with our Carriers.</w:t>
      </w:r>
    </w:p>
    <w:p>
      <w:pPr>
        <w:spacing w:after="0" w:line="9" w:lineRule="exact"/>
        <w:rPr>
          <w:rFonts w:ascii="Arial" w:cs="Arial" w:eastAsia="Arial" w:hAnsi="Arial"/>
          <w:sz w:val="18"/>
          <w:szCs w:val="18"/>
          <w:color w:val="auto"/>
        </w:rPr>
      </w:pPr>
    </w:p>
    <w:p>
      <w:pPr>
        <w:ind w:left="280" w:right="800" w:hanging="272"/>
        <w:spacing w:after="0" w:line="250"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Pre-IPO LLC Members: The members of Goosehead Financial, LLC prior to the closing of the initial public offering of Goosehead Insurance, Inc., which primarily consist of members of management.</w:t>
      </w: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Renewal Revenue: Commissions received from Carriers and Royalty Fees received from Franchisees after the first term of policies.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Renewal Revenue (Corporate): Commissions received from Carriers after the first term of policies originally sold in the Corporate Channel.</w:t>
      </w:r>
    </w:p>
    <w:p>
      <w:pPr>
        <w:spacing w:after="0" w:line="9" w:lineRule="exact"/>
        <w:rPr>
          <w:rFonts w:ascii="Arial" w:cs="Arial" w:eastAsia="Arial" w:hAnsi="Arial"/>
          <w:sz w:val="18"/>
          <w:szCs w:val="18"/>
          <w:color w:val="auto"/>
        </w:rPr>
      </w:pPr>
    </w:p>
    <w:p>
      <w:pPr>
        <w:ind w:left="280" w:hanging="272"/>
        <w:spacing w:after="0" w:line="250"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Royalty Fees: Fees paid by Franchisees to the Company that are tied to the gross commissions paid by the Carriers related to policies sold or renewed in the Franchise Channel.</w:t>
      </w: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Segment: One of the two Goosehead sales distribution channels, the Corporate Channel or the Franchise Channel.</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Segment Adjusted EBITDA: Either Corporate Channel Adjusted EBITDA or Franchise Channel Adjusted EBITDA.</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Offering: The initial public offering completed by Goosehead Insurance, Inc. on May 1st, 2018.</w:t>
      </w:r>
    </w:p>
    <w:p>
      <w:pPr>
        <w:spacing w:after="0" w:line="9" w:lineRule="exact"/>
        <w:rPr>
          <w:rFonts w:ascii="Arial" w:cs="Arial" w:eastAsia="Arial" w:hAnsi="Arial"/>
          <w:sz w:val="18"/>
          <w:szCs w:val="18"/>
          <w:color w:val="auto"/>
        </w:rPr>
      </w:pPr>
    </w:p>
    <w:p>
      <w:pPr>
        <w:ind w:left="280" w:hanging="272"/>
        <w:spacing w:after="0" w:line="250"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Written Premium: As of any reported date, the total amount of current (non-cancelled) gross premium that is placed with Goosehead’s portfolio of Carriers.</w:t>
      </w:r>
    </w:p>
    <w:p>
      <w:pPr>
        <w:ind w:left="280" w:hanging="272"/>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TWIHG: Texas Wasatch Insurance Holdings Group, LLC.</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792" w:right="31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11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made statements in this Form 10-Q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under the caption entitled “Item 1A. Risk factors” in our Annual Report on Form 10-K You should specifically consider the numerous risks outlined under “1A. Risk factors” in the Annual Report on Form 10-K.</w:t>
      </w:r>
    </w:p>
    <w:p>
      <w:pPr>
        <w:spacing w:after="0" w:line="7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forward-looking statements included in this Form 10-Q are made only as of the date hereof. 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Form 10-Q to conform our prior statements to actual results or revised expectations.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792" w:right="25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PART I</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Condensed Consolidated Financial Statements (Unaudited)</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243"/>
        </w:trPr>
        <w:tc>
          <w:tcPr>
            <w:tcW w:w="100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2180" w:type="dxa"/>
            <w:vAlign w:val="bottom"/>
            <w:gridSpan w:val="4"/>
          </w:tcPr>
          <w:p>
            <w:pPr>
              <w:jc w:val="right"/>
              <w:spacing w:after="0"/>
              <w:rPr>
                <w:sz w:val="20"/>
                <w:szCs w:val="20"/>
                <w:color w:val="auto"/>
              </w:rPr>
            </w:pPr>
            <w:r>
              <w:rPr>
                <w:rFonts w:ascii="Arial" w:cs="Arial" w:eastAsia="Arial" w:hAnsi="Arial"/>
                <w:sz w:val="18"/>
                <w:szCs w:val="18"/>
                <w:color w:val="auto"/>
              </w:rPr>
              <w:t>Page</w:t>
            </w:r>
          </w:p>
        </w:tc>
      </w:tr>
      <w:tr>
        <w:trPr>
          <w:trHeight w:val="212"/>
        </w:trPr>
        <w:tc>
          <w:tcPr>
            <w:tcW w:w="6620" w:type="dxa"/>
            <w:vAlign w:val="bottom"/>
            <w:gridSpan w:val="2"/>
          </w:tcPr>
          <w:p>
            <w:pPr>
              <w:spacing w:after="0"/>
              <w:rPr>
                <w:sz w:val="20"/>
                <w:szCs w:val="20"/>
                <w:color w:val="auto"/>
              </w:rPr>
            </w:pPr>
            <w:r>
              <w:rPr>
                <w:rFonts w:ascii="Arial" w:cs="Arial" w:eastAsia="Arial" w:hAnsi="Arial"/>
                <w:sz w:val="18"/>
                <w:szCs w:val="18"/>
                <w:color w:val="auto"/>
              </w:rPr>
              <w:t>Condensed Consolidated Balance Sheets</w:t>
            </w:r>
          </w:p>
        </w:tc>
        <w:tc>
          <w:tcPr>
            <w:tcW w:w="2080" w:type="dxa"/>
            <w:vAlign w:val="bottom"/>
            <w:gridSpan w:val="3"/>
          </w:tcPr>
          <w:p>
            <w:pPr>
              <w:spacing w:after="0"/>
              <w:rPr>
                <w:sz w:val="18"/>
                <w:szCs w:val="18"/>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37"/>
        </w:trPr>
        <w:tc>
          <w:tcPr>
            <w:tcW w:w="662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Income</w:t>
            </w:r>
          </w:p>
        </w:tc>
        <w:tc>
          <w:tcPr>
            <w:tcW w:w="2080" w:type="dxa"/>
            <w:vAlign w:val="bottom"/>
            <w:gridSpan w:val="3"/>
          </w:tcPr>
          <w:p>
            <w:pPr>
              <w:spacing w:after="0"/>
              <w:rPr>
                <w:sz w:val="20"/>
                <w:szCs w:val="20"/>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37"/>
        </w:trPr>
        <w:tc>
          <w:tcPr>
            <w:tcW w:w="662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Stockholders' Equity</w:t>
            </w:r>
          </w:p>
        </w:tc>
        <w:tc>
          <w:tcPr>
            <w:tcW w:w="2080" w:type="dxa"/>
            <w:vAlign w:val="bottom"/>
            <w:gridSpan w:val="3"/>
          </w:tcPr>
          <w:p>
            <w:pPr>
              <w:spacing w:after="0"/>
              <w:rPr>
                <w:sz w:val="20"/>
                <w:szCs w:val="20"/>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37"/>
        </w:trPr>
        <w:tc>
          <w:tcPr>
            <w:tcW w:w="662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Cash Flows</w:t>
            </w:r>
          </w:p>
        </w:tc>
        <w:tc>
          <w:tcPr>
            <w:tcW w:w="2080" w:type="dxa"/>
            <w:vAlign w:val="bottom"/>
            <w:gridSpan w:val="3"/>
          </w:tcPr>
          <w:p>
            <w:pPr>
              <w:spacing w:after="0"/>
              <w:rPr>
                <w:sz w:val="20"/>
                <w:szCs w:val="20"/>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9</w:t>
              </w:r>
            </w:hyperlink>
          </w:p>
        </w:tc>
      </w:tr>
      <w:tr>
        <w:trPr>
          <w:trHeight w:val="237"/>
        </w:trPr>
        <w:tc>
          <w:tcPr>
            <w:tcW w:w="6620" w:type="dxa"/>
            <w:vAlign w:val="bottom"/>
            <w:gridSpan w:val="2"/>
          </w:tcPr>
          <w:p>
            <w:pPr>
              <w:spacing w:after="0"/>
              <w:rPr>
                <w:sz w:val="20"/>
                <w:szCs w:val="20"/>
                <w:color w:val="auto"/>
              </w:rPr>
            </w:pPr>
            <w:r>
              <w:rPr>
                <w:rFonts w:ascii="Arial" w:cs="Arial" w:eastAsia="Arial" w:hAnsi="Arial"/>
                <w:sz w:val="18"/>
                <w:szCs w:val="18"/>
                <w:color w:val="auto"/>
              </w:rPr>
              <w:t>Notes to the Condensed Consolidated Financial Statements</w:t>
            </w:r>
          </w:p>
        </w:tc>
        <w:tc>
          <w:tcPr>
            <w:tcW w:w="1980" w:type="dxa"/>
            <w:vAlign w:val="bottom"/>
          </w:tcPr>
          <w:p>
            <w:pPr>
              <w:spacing w:after="0"/>
              <w:rPr>
                <w:sz w:val="20"/>
                <w:szCs w:val="20"/>
                <w:color w:val="auto"/>
              </w:rPr>
            </w:pPr>
          </w:p>
        </w:tc>
        <w:tc>
          <w:tcPr>
            <w:tcW w:w="200" w:type="dxa"/>
            <w:vAlign w:val="bottom"/>
            <w:tcBorders>
              <w:bottom w:val="single" w:sz="8" w:color="0000EE"/>
            </w:tcBorders>
            <w:gridSpan w:val="3"/>
          </w:tcPr>
          <w:p>
            <w:pPr>
              <w:jc w:val="right"/>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10</w:t>
              </w:r>
            </w:hyperlink>
          </w:p>
        </w:tc>
      </w:tr>
      <w:tr>
        <w:trPr>
          <w:trHeight w:val="237"/>
        </w:trPr>
        <w:tc>
          <w:tcPr>
            <w:tcW w:w="1000" w:type="dxa"/>
            <w:vAlign w:val="bottom"/>
          </w:tcPr>
          <w:p>
            <w:pPr>
              <w:ind w:left="100"/>
              <w:spacing w:after="0"/>
              <w:rPr>
                <w:sz w:val="20"/>
                <w:szCs w:val="20"/>
                <w:color w:val="auto"/>
              </w:rPr>
            </w:pPr>
            <w:r>
              <w:rPr>
                <w:rFonts w:ascii="Arial" w:cs="Arial" w:eastAsia="Arial" w:hAnsi="Arial"/>
                <w:sz w:val="18"/>
                <w:szCs w:val="18"/>
                <w:color w:val="auto"/>
              </w:rPr>
              <w:t>Note 1</w:t>
            </w:r>
          </w:p>
        </w:tc>
        <w:tc>
          <w:tcPr>
            <w:tcW w:w="5620" w:type="dxa"/>
            <w:vAlign w:val="bottom"/>
          </w:tcPr>
          <w:p>
            <w:pPr>
              <w:ind w:left="260"/>
              <w:spacing w:after="0"/>
              <w:rPr>
                <w:sz w:val="20"/>
                <w:szCs w:val="20"/>
                <w:color w:val="auto"/>
              </w:rPr>
            </w:pPr>
            <w:r>
              <w:rPr>
                <w:rFonts w:ascii="Arial" w:cs="Arial" w:eastAsia="Arial" w:hAnsi="Arial"/>
                <w:sz w:val="18"/>
                <w:szCs w:val="18"/>
                <w:color w:val="auto"/>
              </w:rPr>
              <w:t>Organization</w:t>
            </w:r>
          </w:p>
        </w:tc>
        <w:tc>
          <w:tcPr>
            <w:tcW w:w="2180" w:type="dxa"/>
            <w:vAlign w:val="bottom"/>
            <w:gridSpan w:val="4"/>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10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1000" w:type="dxa"/>
            <w:vAlign w:val="bottom"/>
          </w:tcPr>
          <w:p>
            <w:pPr>
              <w:ind w:left="100"/>
              <w:spacing w:after="0"/>
              <w:rPr>
                <w:sz w:val="20"/>
                <w:szCs w:val="20"/>
                <w:color w:val="auto"/>
              </w:rPr>
            </w:pPr>
            <w:r>
              <w:rPr>
                <w:rFonts w:ascii="Arial" w:cs="Arial" w:eastAsia="Arial" w:hAnsi="Arial"/>
                <w:sz w:val="18"/>
                <w:szCs w:val="18"/>
                <w:color w:val="auto"/>
              </w:rPr>
              <w:t>Note 2</w:t>
            </w:r>
          </w:p>
        </w:tc>
        <w:tc>
          <w:tcPr>
            <w:tcW w:w="5620" w:type="dxa"/>
            <w:vAlign w:val="bottom"/>
          </w:tcPr>
          <w:p>
            <w:pPr>
              <w:ind w:left="260"/>
              <w:spacing w:after="0"/>
              <w:rPr>
                <w:sz w:val="20"/>
                <w:szCs w:val="20"/>
                <w:color w:val="auto"/>
              </w:rPr>
            </w:pPr>
            <w:r>
              <w:rPr>
                <w:rFonts w:ascii="Arial" w:cs="Arial" w:eastAsia="Arial" w:hAnsi="Arial"/>
                <w:sz w:val="18"/>
                <w:szCs w:val="18"/>
                <w:color w:val="auto"/>
              </w:rPr>
              <w:t>Summary of Significant Accounting Policies</w:t>
            </w:r>
          </w:p>
        </w:tc>
        <w:tc>
          <w:tcPr>
            <w:tcW w:w="2180" w:type="dxa"/>
            <w:vAlign w:val="bottom"/>
            <w:gridSpan w:val="4"/>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10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1000" w:type="dxa"/>
            <w:vAlign w:val="bottom"/>
          </w:tcPr>
          <w:p>
            <w:pPr>
              <w:ind w:left="100"/>
              <w:spacing w:after="0"/>
              <w:rPr>
                <w:sz w:val="20"/>
                <w:szCs w:val="20"/>
                <w:color w:val="auto"/>
              </w:rPr>
            </w:pPr>
            <w:r>
              <w:rPr>
                <w:rFonts w:ascii="Arial" w:cs="Arial" w:eastAsia="Arial" w:hAnsi="Arial"/>
                <w:sz w:val="18"/>
                <w:szCs w:val="18"/>
                <w:color w:val="auto"/>
              </w:rPr>
              <w:t>Note 3</w:t>
            </w:r>
          </w:p>
        </w:tc>
        <w:tc>
          <w:tcPr>
            <w:tcW w:w="5620" w:type="dxa"/>
            <w:vAlign w:val="bottom"/>
          </w:tcPr>
          <w:p>
            <w:pPr>
              <w:ind w:left="260"/>
              <w:spacing w:after="0"/>
              <w:rPr>
                <w:sz w:val="20"/>
                <w:szCs w:val="20"/>
                <w:color w:val="auto"/>
              </w:rPr>
            </w:pPr>
            <w:r>
              <w:rPr>
                <w:rFonts w:ascii="Arial" w:cs="Arial" w:eastAsia="Arial" w:hAnsi="Arial"/>
                <w:sz w:val="18"/>
                <w:szCs w:val="18"/>
                <w:color w:val="auto"/>
              </w:rPr>
              <w:t>Franchise Fees Receivable</w:t>
            </w:r>
          </w:p>
        </w:tc>
        <w:tc>
          <w:tcPr>
            <w:tcW w:w="1980" w:type="dxa"/>
            <w:vAlign w:val="bottom"/>
          </w:tcPr>
          <w:p>
            <w:pPr>
              <w:spacing w:after="0"/>
              <w:rPr>
                <w:sz w:val="20"/>
                <w:szCs w:val="20"/>
                <w:color w:val="auto"/>
              </w:rPr>
            </w:pPr>
          </w:p>
        </w:tc>
        <w:tc>
          <w:tcPr>
            <w:tcW w:w="200" w:type="dxa"/>
            <w:vAlign w:val="bottom"/>
            <w:tcBorders>
              <w:bottom w:val="single" w:sz="8" w:color="0000EE"/>
            </w:tcBorders>
            <w:gridSpan w:val="3"/>
          </w:tcPr>
          <w:p>
            <w:pPr>
              <w:jc w:val="right"/>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13</w:t>
              </w:r>
            </w:hyperlink>
          </w:p>
        </w:tc>
      </w:tr>
      <w:tr>
        <w:trPr>
          <w:trHeight w:val="237"/>
        </w:trPr>
        <w:tc>
          <w:tcPr>
            <w:tcW w:w="1000" w:type="dxa"/>
            <w:vAlign w:val="bottom"/>
          </w:tcPr>
          <w:p>
            <w:pPr>
              <w:ind w:left="100"/>
              <w:spacing w:after="0"/>
              <w:rPr>
                <w:sz w:val="20"/>
                <w:szCs w:val="20"/>
                <w:color w:val="auto"/>
              </w:rPr>
            </w:pPr>
            <w:r>
              <w:rPr>
                <w:rFonts w:ascii="Arial" w:cs="Arial" w:eastAsia="Arial" w:hAnsi="Arial"/>
                <w:sz w:val="18"/>
                <w:szCs w:val="18"/>
                <w:color w:val="auto"/>
              </w:rPr>
              <w:t>Note 4</w:t>
            </w:r>
          </w:p>
        </w:tc>
        <w:tc>
          <w:tcPr>
            <w:tcW w:w="5620" w:type="dxa"/>
            <w:vAlign w:val="bottom"/>
          </w:tcPr>
          <w:p>
            <w:pPr>
              <w:ind w:left="260"/>
              <w:spacing w:after="0"/>
              <w:rPr>
                <w:sz w:val="20"/>
                <w:szCs w:val="20"/>
                <w:color w:val="auto"/>
              </w:rPr>
            </w:pPr>
            <w:r>
              <w:rPr>
                <w:rFonts w:ascii="Arial" w:cs="Arial" w:eastAsia="Arial" w:hAnsi="Arial"/>
                <w:sz w:val="18"/>
                <w:szCs w:val="18"/>
                <w:color w:val="auto"/>
              </w:rPr>
              <w:t>Allowance for Uncollectible Agency Fees</w:t>
            </w:r>
          </w:p>
        </w:tc>
        <w:tc>
          <w:tcPr>
            <w:tcW w:w="1980" w:type="dxa"/>
            <w:vAlign w:val="bottom"/>
          </w:tcPr>
          <w:p>
            <w:pPr>
              <w:spacing w:after="0"/>
              <w:rPr>
                <w:sz w:val="20"/>
                <w:szCs w:val="20"/>
                <w:color w:val="auto"/>
              </w:rPr>
            </w:pPr>
          </w:p>
        </w:tc>
        <w:tc>
          <w:tcPr>
            <w:tcW w:w="200" w:type="dxa"/>
            <w:vAlign w:val="bottom"/>
            <w:tcBorders>
              <w:bottom w:val="single" w:sz="8" w:color="0000EE"/>
            </w:tcBorders>
            <w:gridSpan w:val="3"/>
          </w:tcPr>
          <w:p>
            <w:pPr>
              <w:jc w:val="right"/>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13</w:t>
              </w:r>
            </w:hyperlink>
          </w:p>
        </w:tc>
      </w:tr>
      <w:tr>
        <w:trPr>
          <w:trHeight w:val="237"/>
        </w:trPr>
        <w:tc>
          <w:tcPr>
            <w:tcW w:w="1000" w:type="dxa"/>
            <w:vAlign w:val="bottom"/>
          </w:tcPr>
          <w:p>
            <w:pPr>
              <w:ind w:left="100"/>
              <w:spacing w:after="0"/>
              <w:rPr>
                <w:sz w:val="20"/>
                <w:szCs w:val="20"/>
                <w:color w:val="auto"/>
              </w:rPr>
            </w:pPr>
            <w:r>
              <w:rPr>
                <w:rFonts w:ascii="Arial" w:cs="Arial" w:eastAsia="Arial" w:hAnsi="Arial"/>
                <w:sz w:val="18"/>
                <w:szCs w:val="18"/>
                <w:color w:val="auto"/>
              </w:rPr>
              <w:t>Note 5</w:t>
            </w:r>
          </w:p>
        </w:tc>
        <w:tc>
          <w:tcPr>
            <w:tcW w:w="5620" w:type="dxa"/>
            <w:vAlign w:val="bottom"/>
          </w:tcPr>
          <w:p>
            <w:pPr>
              <w:ind w:left="260"/>
              <w:spacing w:after="0"/>
              <w:rPr>
                <w:sz w:val="20"/>
                <w:szCs w:val="20"/>
                <w:color w:val="auto"/>
              </w:rPr>
            </w:pPr>
            <w:r>
              <w:rPr>
                <w:rFonts w:ascii="Arial" w:cs="Arial" w:eastAsia="Arial" w:hAnsi="Arial"/>
                <w:sz w:val="18"/>
                <w:szCs w:val="18"/>
                <w:color w:val="auto"/>
              </w:rPr>
              <w:t>Property and equipment</w:t>
            </w:r>
          </w:p>
        </w:tc>
        <w:tc>
          <w:tcPr>
            <w:tcW w:w="1980" w:type="dxa"/>
            <w:vAlign w:val="bottom"/>
          </w:tcPr>
          <w:p>
            <w:pPr>
              <w:spacing w:after="0"/>
              <w:rPr>
                <w:sz w:val="20"/>
                <w:szCs w:val="20"/>
                <w:color w:val="auto"/>
              </w:rPr>
            </w:pPr>
          </w:p>
        </w:tc>
        <w:tc>
          <w:tcPr>
            <w:tcW w:w="200" w:type="dxa"/>
            <w:vAlign w:val="bottom"/>
            <w:tcBorders>
              <w:bottom w:val="single" w:sz="8" w:color="0000EE"/>
            </w:tcBorders>
            <w:gridSpan w:val="3"/>
          </w:tcPr>
          <w:p>
            <w:pPr>
              <w:jc w:val="right"/>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14</w:t>
              </w:r>
            </w:hyperlink>
          </w:p>
        </w:tc>
      </w:tr>
      <w:tr>
        <w:trPr>
          <w:trHeight w:val="237"/>
        </w:trPr>
        <w:tc>
          <w:tcPr>
            <w:tcW w:w="1000" w:type="dxa"/>
            <w:vAlign w:val="bottom"/>
          </w:tcPr>
          <w:p>
            <w:pPr>
              <w:ind w:left="100"/>
              <w:spacing w:after="0"/>
              <w:rPr>
                <w:sz w:val="20"/>
                <w:szCs w:val="20"/>
                <w:color w:val="auto"/>
              </w:rPr>
            </w:pPr>
            <w:r>
              <w:rPr>
                <w:rFonts w:ascii="Arial" w:cs="Arial" w:eastAsia="Arial" w:hAnsi="Arial"/>
                <w:sz w:val="18"/>
                <w:szCs w:val="18"/>
                <w:color w:val="auto"/>
              </w:rPr>
              <w:t>Note 6</w:t>
            </w:r>
          </w:p>
        </w:tc>
        <w:tc>
          <w:tcPr>
            <w:tcW w:w="5620" w:type="dxa"/>
            <w:vAlign w:val="bottom"/>
          </w:tcPr>
          <w:p>
            <w:pPr>
              <w:ind w:left="260"/>
              <w:spacing w:after="0"/>
              <w:rPr>
                <w:sz w:val="20"/>
                <w:szCs w:val="20"/>
                <w:color w:val="auto"/>
              </w:rPr>
            </w:pPr>
            <w:r>
              <w:rPr>
                <w:rFonts w:ascii="Arial" w:cs="Arial" w:eastAsia="Arial" w:hAnsi="Arial"/>
                <w:sz w:val="18"/>
                <w:szCs w:val="18"/>
                <w:color w:val="auto"/>
              </w:rPr>
              <w:t>Note Payable</w:t>
            </w:r>
          </w:p>
        </w:tc>
        <w:tc>
          <w:tcPr>
            <w:tcW w:w="1980" w:type="dxa"/>
            <w:vAlign w:val="bottom"/>
          </w:tcPr>
          <w:p>
            <w:pPr>
              <w:spacing w:after="0"/>
              <w:rPr>
                <w:sz w:val="20"/>
                <w:szCs w:val="20"/>
                <w:color w:val="auto"/>
              </w:rPr>
            </w:pPr>
          </w:p>
        </w:tc>
        <w:tc>
          <w:tcPr>
            <w:tcW w:w="200" w:type="dxa"/>
            <w:vAlign w:val="bottom"/>
            <w:tcBorders>
              <w:bottom w:val="single" w:sz="8" w:color="0000EE"/>
            </w:tcBorders>
            <w:gridSpan w:val="3"/>
          </w:tcPr>
          <w:p>
            <w:pPr>
              <w:jc w:val="right"/>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14</w:t>
              </w:r>
            </w:hyperlink>
          </w:p>
        </w:tc>
      </w:tr>
      <w:tr>
        <w:trPr>
          <w:trHeight w:val="237"/>
        </w:trPr>
        <w:tc>
          <w:tcPr>
            <w:tcW w:w="1000" w:type="dxa"/>
            <w:vAlign w:val="bottom"/>
          </w:tcPr>
          <w:p>
            <w:pPr>
              <w:ind w:left="100"/>
              <w:spacing w:after="0"/>
              <w:rPr>
                <w:sz w:val="20"/>
                <w:szCs w:val="20"/>
                <w:color w:val="auto"/>
              </w:rPr>
            </w:pPr>
            <w:r>
              <w:rPr>
                <w:rFonts w:ascii="Arial" w:cs="Arial" w:eastAsia="Arial" w:hAnsi="Arial"/>
                <w:sz w:val="18"/>
                <w:szCs w:val="18"/>
                <w:color w:val="auto"/>
              </w:rPr>
              <w:t>Note 7</w:t>
            </w:r>
          </w:p>
        </w:tc>
        <w:tc>
          <w:tcPr>
            <w:tcW w:w="5620" w:type="dxa"/>
            <w:vAlign w:val="bottom"/>
          </w:tcPr>
          <w:p>
            <w:pPr>
              <w:ind w:left="260"/>
              <w:spacing w:after="0"/>
              <w:rPr>
                <w:sz w:val="20"/>
                <w:szCs w:val="20"/>
                <w:color w:val="auto"/>
              </w:rPr>
            </w:pPr>
            <w:r>
              <w:rPr>
                <w:rFonts w:ascii="Arial" w:cs="Arial" w:eastAsia="Arial" w:hAnsi="Arial"/>
                <w:sz w:val="18"/>
                <w:szCs w:val="18"/>
                <w:color w:val="auto"/>
              </w:rPr>
              <w:t>Commitments and Contingencies</w:t>
            </w:r>
          </w:p>
        </w:tc>
        <w:tc>
          <w:tcPr>
            <w:tcW w:w="1980" w:type="dxa"/>
            <w:vAlign w:val="bottom"/>
          </w:tcPr>
          <w:p>
            <w:pPr>
              <w:spacing w:after="0"/>
              <w:rPr>
                <w:sz w:val="20"/>
                <w:szCs w:val="20"/>
                <w:color w:val="auto"/>
              </w:rPr>
            </w:pPr>
          </w:p>
        </w:tc>
        <w:tc>
          <w:tcPr>
            <w:tcW w:w="200" w:type="dxa"/>
            <w:vAlign w:val="bottom"/>
            <w:tcBorders>
              <w:bottom w:val="single" w:sz="8" w:color="0000EE"/>
            </w:tcBorders>
            <w:gridSpan w:val="3"/>
          </w:tcPr>
          <w:p>
            <w:pPr>
              <w:jc w:val="right"/>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r>
      <w:tr>
        <w:trPr>
          <w:trHeight w:val="237"/>
        </w:trPr>
        <w:tc>
          <w:tcPr>
            <w:tcW w:w="1000" w:type="dxa"/>
            <w:vAlign w:val="bottom"/>
          </w:tcPr>
          <w:p>
            <w:pPr>
              <w:ind w:left="100"/>
              <w:spacing w:after="0"/>
              <w:rPr>
                <w:sz w:val="20"/>
                <w:szCs w:val="20"/>
                <w:color w:val="auto"/>
              </w:rPr>
            </w:pPr>
            <w:r>
              <w:rPr>
                <w:rFonts w:ascii="Arial" w:cs="Arial" w:eastAsia="Arial" w:hAnsi="Arial"/>
                <w:sz w:val="18"/>
                <w:szCs w:val="18"/>
                <w:color w:val="auto"/>
              </w:rPr>
              <w:t>Note 8</w:t>
            </w:r>
          </w:p>
        </w:tc>
        <w:tc>
          <w:tcPr>
            <w:tcW w:w="5620" w:type="dxa"/>
            <w:vAlign w:val="bottom"/>
          </w:tcPr>
          <w:p>
            <w:pPr>
              <w:ind w:left="260"/>
              <w:spacing w:after="0"/>
              <w:rPr>
                <w:sz w:val="20"/>
                <w:szCs w:val="20"/>
                <w:color w:val="auto"/>
              </w:rPr>
            </w:pPr>
            <w:r>
              <w:rPr>
                <w:rFonts w:ascii="Arial" w:cs="Arial" w:eastAsia="Arial" w:hAnsi="Arial"/>
                <w:sz w:val="18"/>
                <w:szCs w:val="18"/>
                <w:color w:val="auto"/>
              </w:rPr>
              <w:t>Income Taxes</w:t>
            </w:r>
          </w:p>
        </w:tc>
        <w:tc>
          <w:tcPr>
            <w:tcW w:w="1980" w:type="dxa"/>
            <w:vAlign w:val="bottom"/>
          </w:tcPr>
          <w:p>
            <w:pPr>
              <w:spacing w:after="0"/>
              <w:rPr>
                <w:sz w:val="20"/>
                <w:szCs w:val="20"/>
                <w:color w:val="auto"/>
              </w:rPr>
            </w:pPr>
          </w:p>
        </w:tc>
        <w:tc>
          <w:tcPr>
            <w:tcW w:w="200" w:type="dxa"/>
            <w:vAlign w:val="bottom"/>
            <w:tcBorders>
              <w:bottom w:val="single" w:sz="8" w:color="0000EE"/>
            </w:tcBorders>
            <w:gridSpan w:val="3"/>
          </w:tcPr>
          <w:p>
            <w:pPr>
              <w:jc w:val="right"/>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r>
      <w:tr>
        <w:trPr>
          <w:trHeight w:val="237"/>
        </w:trPr>
        <w:tc>
          <w:tcPr>
            <w:tcW w:w="1000" w:type="dxa"/>
            <w:vAlign w:val="bottom"/>
          </w:tcPr>
          <w:p>
            <w:pPr>
              <w:ind w:left="100"/>
              <w:spacing w:after="0"/>
              <w:rPr>
                <w:sz w:val="20"/>
                <w:szCs w:val="20"/>
                <w:color w:val="auto"/>
              </w:rPr>
            </w:pPr>
            <w:r>
              <w:rPr>
                <w:rFonts w:ascii="Arial" w:cs="Arial" w:eastAsia="Arial" w:hAnsi="Arial"/>
                <w:sz w:val="18"/>
                <w:szCs w:val="18"/>
                <w:color w:val="auto"/>
              </w:rPr>
              <w:t>Note 9</w:t>
            </w:r>
          </w:p>
        </w:tc>
        <w:tc>
          <w:tcPr>
            <w:tcW w:w="5620" w:type="dxa"/>
            <w:vAlign w:val="bottom"/>
          </w:tcPr>
          <w:p>
            <w:pPr>
              <w:ind w:left="260"/>
              <w:spacing w:after="0"/>
              <w:rPr>
                <w:sz w:val="20"/>
                <w:szCs w:val="20"/>
                <w:color w:val="auto"/>
              </w:rPr>
            </w:pPr>
            <w:r>
              <w:rPr>
                <w:rFonts w:ascii="Arial" w:cs="Arial" w:eastAsia="Arial" w:hAnsi="Arial"/>
                <w:sz w:val="18"/>
                <w:szCs w:val="18"/>
                <w:color w:val="auto"/>
              </w:rPr>
              <w:t>Stockholders' Equity</w:t>
            </w:r>
          </w:p>
        </w:tc>
        <w:tc>
          <w:tcPr>
            <w:tcW w:w="1980" w:type="dxa"/>
            <w:vAlign w:val="bottom"/>
          </w:tcPr>
          <w:p>
            <w:pPr>
              <w:spacing w:after="0"/>
              <w:rPr>
                <w:sz w:val="20"/>
                <w:szCs w:val="20"/>
                <w:color w:val="auto"/>
              </w:rPr>
            </w:pPr>
          </w:p>
        </w:tc>
        <w:tc>
          <w:tcPr>
            <w:tcW w:w="200" w:type="dxa"/>
            <w:vAlign w:val="bottom"/>
            <w:tcBorders>
              <w:bottom w:val="single" w:sz="8" w:color="0000EE"/>
            </w:tcBorders>
            <w:gridSpan w:val="3"/>
          </w:tcPr>
          <w:p>
            <w:pPr>
              <w:jc w:val="right"/>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17</w:t>
              </w:r>
            </w:hyperlink>
          </w:p>
        </w:tc>
      </w:tr>
      <w:tr>
        <w:trPr>
          <w:trHeight w:val="237"/>
        </w:trPr>
        <w:tc>
          <w:tcPr>
            <w:tcW w:w="1000" w:type="dxa"/>
            <w:vAlign w:val="bottom"/>
          </w:tcPr>
          <w:p>
            <w:pPr>
              <w:ind w:left="100"/>
              <w:spacing w:after="0"/>
              <w:rPr>
                <w:sz w:val="20"/>
                <w:szCs w:val="20"/>
                <w:color w:val="auto"/>
              </w:rPr>
            </w:pPr>
            <w:r>
              <w:rPr>
                <w:rFonts w:ascii="Arial" w:cs="Arial" w:eastAsia="Arial" w:hAnsi="Arial"/>
                <w:sz w:val="18"/>
                <w:szCs w:val="18"/>
                <w:color w:val="auto"/>
              </w:rPr>
              <w:t>Note 10</w:t>
            </w:r>
          </w:p>
        </w:tc>
        <w:tc>
          <w:tcPr>
            <w:tcW w:w="5620" w:type="dxa"/>
            <w:vAlign w:val="bottom"/>
          </w:tcPr>
          <w:p>
            <w:pPr>
              <w:ind w:left="260"/>
              <w:spacing w:after="0"/>
              <w:rPr>
                <w:sz w:val="20"/>
                <w:szCs w:val="20"/>
                <w:color w:val="auto"/>
              </w:rPr>
            </w:pPr>
            <w:r>
              <w:rPr>
                <w:rFonts w:ascii="Arial" w:cs="Arial" w:eastAsia="Arial" w:hAnsi="Arial"/>
                <w:sz w:val="18"/>
                <w:szCs w:val="18"/>
                <w:color w:val="auto"/>
              </w:rPr>
              <w:t>Equity-Based Compensation</w:t>
            </w:r>
          </w:p>
        </w:tc>
        <w:tc>
          <w:tcPr>
            <w:tcW w:w="1980" w:type="dxa"/>
            <w:vAlign w:val="bottom"/>
          </w:tcPr>
          <w:p>
            <w:pPr>
              <w:spacing w:after="0"/>
              <w:rPr>
                <w:sz w:val="20"/>
                <w:szCs w:val="20"/>
                <w:color w:val="auto"/>
              </w:rPr>
            </w:pPr>
          </w:p>
        </w:tc>
        <w:tc>
          <w:tcPr>
            <w:tcW w:w="200" w:type="dxa"/>
            <w:vAlign w:val="bottom"/>
            <w:tcBorders>
              <w:bottom w:val="single" w:sz="8" w:color="0000EE"/>
            </w:tcBorders>
            <w:gridSpan w:val="3"/>
          </w:tcPr>
          <w:p>
            <w:pPr>
              <w:jc w:val="right"/>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r>
      <w:tr>
        <w:trPr>
          <w:trHeight w:val="237"/>
        </w:trPr>
        <w:tc>
          <w:tcPr>
            <w:tcW w:w="1000" w:type="dxa"/>
            <w:vAlign w:val="bottom"/>
          </w:tcPr>
          <w:p>
            <w:pPr>
              <w:ind w:left="100"/>
              <w:spacing w:after="0"/>
              <w:rPr>
                <w:sz w:val="20"/>
                <w:szCs w:val="20"/>
                <w:color w:val="auto"/>
              </w:rPr>
            </w:pPr>
            <w:r>
              <w:rPr>
                <w:rFonts w:ascii="Arial" w:cs="Arial" w:eastAsia="Arial" w:hAnsi="Arial"/>
                <w:sz w:val="18"/>
                <w:szCs w:val="18"/>
                <w:color w:val="auto"/>
              </w:rPr>
              <w:t>Note 10</w:t>
            </w:r>
          </w:p>
        </w:tc>
        <w:tc>
          <w:tcPr>
            <w:tcW w:w="562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1980" w:type="dxa"/>
            <w:vAlign w:val="bottom"/>
          </w:tcPr>
          <w:p>
            <w:pPr>
              <w:spacing w:after="0"/>
              <w:rPr>
                <w:sz w:val="20"/>
                <w:szCs w:val="20"/>
                <w:color w:val="auto"/>
              </w:rPr>
            </w:pPr>
          </w:p>
        </w:tc>
        <w:tc>
          <w:tcPr>
            <w:tcW w:w="200" w:type="dxa"/>
            <w:vAlign w:val="bottom"/>
            <w:tcBorders>
              <w:bottom w:val="single" w:sz="8" w:color="0000EE"/>
            </w:tcBorders>
            <w:gridSpan w:val="3"/>
          </w:tcPr>
          <w:p>
            <w:pPr>
              <w:jc w:val="right"/>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r>
      <w:tr>
        <w:trPr>
          <w:trHeight w:val="237"/>
        </w:trPr>
        <w:tc>
          <w:tcPr>
            <w:tcW w:w="1000" w:type="dxa"/>
            <w:vAlign w:val="bottom"/>
          </w:tcPr>
          <w:p>
            <w:pPr>
              <w:ind w:left="100"/>
              <w:spacing w:after="0"/>
              <w:rPr>
                <w:sz w:val="20"/>
                <w:szCs w:val="20"/>
                <w:color w:val="auto"/>
              </w:rPr>
            </w:pPr>
            <w:r>
              <w:rPr>
                <w:rFonts w:ascii="Arial" w:cs="Arial" w:eastAsia="Arial" w:hAnsi="Arial"/>
                <w:sz w:val="18"/>
                <w:szCs w:val="18"/>
                <w:color w:val="auto"/>
              </w:rPr>
              <w:t>Note 12</w:t>
            </w:r>
          </w:p>
        </w:tc>
        <w:tc>
          <w:tcPr>
            <w:tcW w:w="5620" w:type="dxa"/>
            <w:vAlign w:val="bottom"/>
          </w:tcPr>
          <w:p>
            <w:pPr>
              <w:ind w:left="260"/>
              <w:spacing w:after="0"/>
              <w:rPr>
                <w:sz w:val="20"/>
                <w:szCs w:val="20"/>
                <w:color w:val="auto"/>
              </w:rPr>
            </w:pPr>
            <w:r>
              <w:rPr>
                <w:rFonts w:ascii="Arial" w:cs="Arial" w:eastAsia="Arial" w:hAnsi="Arial"/>
                <w:sz w:val="18"/>
                <w:szCs w:val="18"/>
                <w:color w:val="auto"/>
              </w:rPr>
              <w:t>Segment Information</w:t>
            </w:r>
          </w:p>
        </w:tc>
        <w:tc>
          <w:tcPr>
            <w:tcW w:w="1980" w:type="dxa"/>
            <w:vAlign w:val="bottom"/>
          </w:tcPr>
          <w:p>
            <w:pPr>
              <w:spacing w:after="0"/>
              <w:rPr>
                <w:sz w:val="20"/>
                <w:szCs w:val="20"/>
                <w:color w:val="auto"/>
              </w:rPr>
            </w:pPr>
          </w:p>
        </w:tc>
        <w:tc>
          <w:tcPr>
            <w:tcW w:w="200" w:type="dxa"/>
            <w:vAlign w:val="bottom"/>
            <w:tcBorders>
              <w:bottom w:val="single" w:sz="8" w:color="0000EE"/>
            </w:tcBorders>
            <w:gridSpan w:val="3"/>
          </w:tcPr>
          <w:p>
            <w:pPr>
              <w:jc w:val="right"/>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r>
      <w:tr>
        <w:trPr>
          <w:trHeight w:val="237"/>
        </w:trPr>
        <w:tc>
          <w:tcPr>
            <w:tcW w:w="1000" w:type="dxa"/>
            <w:vAlign w:val="bottom"/>
          </w:tcPr>
          <w:p>
            <w:pPr>
              <w:ind w:left="100"/>
              <w:spacing w:after="0"/>
              <w:rPr>
                <w:sz w:val="20"/>
                <w:szCs w:val="20"/>
                <w:color w:val="auto"/>
              </w:rPr>
            </w:pPr>
            <w:r>
              <w:rPr>
                <w:rFonts w:ascii="Arial" w:cs="Arial" w:eastAsia="Arial" w:hAnsi="Arial"/>
                <w:sz w:val="18"/>
                <w:szCs w:val="18"/>
                <w:color w:val="auto"/>
              </w:rPr>
              <w:t>Note 13</w:t>
            </w:r>
          </w:p>
        </w:tc>
        <w:tc>
          <w:tcPr>
            <w:tcW w:w="5620" w:type="dxa"/>
            <w:vAlign w:val="bottom"/>
          </w:tcPr>
          <w:p>
            <w:pPr>
              <w:ind w:left="260"/>
              <w:spacing w:after="0"/>
              <w:rPr>
                <w:sz w:val="20"/>
                <w:szCs w:val="20"/>
                <w:color w:val="auto"/>
              </w:rPr>
            </w:pPr>
            <w:r>
              <w:rPr>
                <w:rFonts w:ascii="Arial" w:cs="Arial" w:eastAsia="Arial" w:hAnsi="Arial"/>
                <w:sz w:val="18"/>
                <w:szCs w:val="18"/>
                <w:color w:val="auto"/>
              </w:rPr>
              <w:t>Litigation</w:t>
            </w:r>
          </w:p>
        </w:tc>
        <w:tc>
          <w:tcPr>
            <w:tcW w:w="2180" w:type="dxa"/>
            <w:vAlign w:val="bottom"/>
            <w:gridSpan w:val="4"/>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497"/>
        </w:trPr>
        <w:tc>
          <w:tcPr>
            <w:tcW w:w="1000" w:type="dxa"/>
            <w:vAlign w:val="bottom"/>
          </w:tcPr>
          <w:p>
            <w:pPr>
              <w:spacing w:after="0"/>
              <w:rPr>
                <w:sz w:val="24"/>
                <w:szCs w:val="24"/>
                <w:color w:val="auto"/>
              </w:rPr>
            </w:pPr>
          </w:p>
        </w:tc>
        <w:tc>
          <w:tcPr>
            <w:tcW w:w="5620" w:type="dxa"/>
            <w:vAlign w:val="bottom"/>
          </w:tcPr>
          <w:p>
            <w:pPr>
              <w:ind w:left="3280"/>
              <w:spacing w:after="0"/>
              <w:rPr>
                <w:sz w:val="20"/>
                <w:szCs w:val="20"/>
                <w:color w:val="auto"/>
              </w:rPr>
            </w:pPr>
            <w:r>
              <w:rPr>
                <w:rFonts w:ascii="Arial" w:cs="Arial" w:eastAsia="Arial" w:hAnsi="Arial"/>
                <w:sz w:val="18"/>
                <w:szCs w:val="18"/>
                <w:color w:val="auto"/>
              </w:rPr>
              <w:t>5</w:t>
            </w:r>
          </w:p>
        </w:tc>
        <w:tc>
          <w:tcPr>
            <w:tcW w:w="198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219"/>
          </w:cols>
          <w:pgMar w:left="240" w:top="576" w:right="1440"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auto"/>
        </w:rPr>
        <w:t>Goosehead Insurance, Inc.</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Condensed Consolidated Balance Sheets</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57"/>
        </w:trPr>
        <w:tc>
          <w:tcPr>
            <w:tcW w:w="8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1"/>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81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8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18,635</w:t>
            </w:r>
          </w:p>
        </w:tc>
        <w:tc>
          <w:tcPr>
            <w:tcW w:w="0" w:type="dxa"/>
            <w:vAlign w:val="bottom"/>
          </w:tcPr>
          <w:p>
            <w:pPr>
              <w:spacing w:after="0"/>
              <w:rPr>
                <w:sz w:val="1"/>
                <w:szCs w:val="1"/>
                <w:color w:val="auto"/>
              </w:rPr>
            </w:pPr>
          </w:p>
        </w:tc>
      </w:tr>
      <w:tr>
        <w:trPr>
          <w:trHeight w:val="252"/>
        </w:trPr>
        <w:tc>
          <w:tcPr>
            <w:tcW w:w="814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5"/>
        </w:trPr>
        <w:tc>
          <w:tcPr>
            <w:tcW w:w="8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Dividends held by transfer agent</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8140" w:type="dxa"/>
            <w:vAlign w:val="bottom"/>
          </w:tcPr>
          <w:p>
            <w:pPr>
              <w:ind w:left="180"/>
              <w:spacing w:after="0"/>
              <w:rPr>
                <w:sz w:val="20"/>
                <w:szCs w:val="20"/>
                <w:color w:val="auto"/>
              </w:rPr>
            </w:pPr>
            <w:r>
              <w:rPr>
                <w:rFonts w:ascii="Arial" w:cs="Arial" w:eastAsia="Arial" w:hAnsi="Arial"/>
                <w:sz w:val="16"/>
                <w:szCs w:val="16"/>
                <w:color w:val="auto"/>
              </w:rPr>
              <w:t>Commissions and agency fees receivable, net</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 from franchisees, net</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52"/>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Prepaid expenses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55"/>
        </w:trPr>
        <w:tc>
          <w:tcPr>
            <w:tcW w:w="814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Total current assets</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29,270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22,839</w:t>
            </w:r>
          </w:p>
        </w:tc>
        <w:tc>
          <w:tcPr>
            <w:tcW w:w="0" w:type="dxa"/>
            <w:vAlign w:val="bottom"/>
          </w:tcPr>
          <w:p>
            <w:pPr>
              <w:spacing w:after="0"/>
              <w:rPr>
                <w:sz w:val="1"/>
                <w:szCs w:val="1"/>
                <w:color w:val="auto"/>
              </w:rPr>
            </w:pPr>
          </w:p>
        </w:tc>
      </w:tr>
      <w:tr>
        <w:trPr>
          <w:trHeight w:val="252"/>
        </w:trPr>
        <w:tc>
          <w:tcPr>
            <w:tcW w:w="8140" w:type="dxa"/>
            <w:vAlign w:val="bottom"/>
          </w:tcPr>
          <w:p>
            <w:pPr>
              <w:ind w:left="180"/>
              <w:spacing w:after="0"/>
              <w:rPr>
                <w:sz w:val="20"/>
                <w:szCs w:val="20"/>
                <w:color w:val="auto"/>
              </w:rPr>
            </w:pPr>
            <w:r>
              <w:rPr>
                <w:rFonts w:ascii="Arial" w:cs="Arial" w:eastAsia="Arial" w:hAnsi="Arial"/>
                <w:sz w:val="16"/>
                <w:szCs w:val="16"/>
                <w:color w:val="auto"/>
              </w:rPr>
              <w:t>Receivable from franchisees, net of current portion</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Property and equipment, net of accumulated depreciation</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7,575</w:t>
            </w:r>
          </w:p>
        </w:tc>
        <w:tc>
          <w:tcPr>
            <w:tcW w:w="0" w:type="dxa"/>
            <w:vAlign w:val="bottom"/>
          </w:tcPr>
          <w:p>
            <w:pPr>
              <w:spacing w:after="0"/>
              <w:rPr>
                <w:sz w:val="1"/>
                <w:szCs w:val="1"/>
                <w:color w:val="auto"/>
              </w:rPr>
            </w:pPr>
          </w:p>
        </w:tc>
      </w:tr>
      <w:tr>
        <w:trPr>
          <w:trHeight w:val="252"/>
        </w:trPr>
        <w:tc>
          <w:tcPr>
            <w:tcW w:w="8140" w:type="dxa"/>
            <w:vAlign w:val="bottom"/>
          </w:tcPr>
          <w:p>
            <w:pPr>
              <w:ind w:left="180"/>
              <w:spacing w:after="0"/>
              <w:rPr>
                <w:sz w:val="20"/>
                <w:szCs w:val="20"/>
                <w:color w:val="auto"/>
              </w:rPr>
            </w:pPr>
            <w:r>
              <w:rPr>
                <w:rFonts w:ascii="Arial" w:cs="Arial" w:eastAsia="Arial" w:hAnsi="Arial"/>
                <w:sz w:val="16"/>
                <w:szCs w:val="16"/>
                <w:color w:val="auto"/>
              </w:rPr>
              <w:t>Intangible assets, net of accumulated amortization</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5"/>
        </w:trPr>
        <w:tc>
          <w:tcPr>
            <w:tcW w:w="8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 net</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52"/>
        </w:trPr>
        <w:tc>
          <w:tcPr>
            <w:tcW w:w="81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34,798</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140" w:type="dxa"/>
            <w:vAlign w:val="bottom"/>
          </w:tcPr>
          <w:p>
            <w:pPr>
              <w:ind w:left="18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Premiums payable</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52"/>
        </w:trPr>
        <w:tc>
          <w:tcPr>
            <w:tcW w:w="8140" w:type="dxa"/>
            <w:vAlign w:val="bottom"/>
          </w:tcPr>
          <w:p>
            <w:pPr>
              <w:ind w:left="180"/>
              <w:spacing w:after="0"/>
              <w:rPr>
                <w:sz w:val="20"/>
                <w:szCs w:val="20"/>
                <w:color w:val="auto"/>
              </w:rPr>
            </w:pPr>
            <w:r>
              <w:rPr>
                <w:rFonts w:ascii="Arial" w:cs="Arial" w:eastAsia="Arial" w:hAnsi="Arial"/>
                <w:sz w:val="16"/>
                <w:szCs w:val="16"/>
                <w:color w:val="auto"/>
              </w:rPr>
              <w:t>Unearned revenue</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Dividends payable</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8140" w:type="dxa"/>
            <w:vAlign w:val="bottom"/>
          </w:tcPr>
          <w:p>
            <w:pPr>
              <w:ind w:left="180"/>
              <w:spacing w:after="0"/>
              <w:rPr>
                <w:sz w:val="20"/>
                <w:szCs w:val="20"/>
                <w:color w:val="auto"/>
              </w:rPr>
            </w:pPr>
            <w:r>
              <w:rPr>
                <w:rFonts w:ascii="Arial" w:cs="Arial" w:eastAsia="Arial" w:hAnsi="Arial"/>
                <w:sz w:val="16"/>
                <w:szCs w:val="16"/>
                <w:color w:val="auto"/>
              </w:rPr>
              <w:t>Deferred rent</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Note payable</w:t>
            </w:r>
          </w:p>
        </w:tc>
        <w:tc>
          <w:tcPr>
            <w:tcW w:w="2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5"/>
        </w:trPr>
        <w:tc>
          <w:tcPr>
            <w:tcW w:w="8140" w:type="dxa"/>
            <w:vAlign w:val="bottom"/>
          </w:tcPr>
          <w:p>
            <w:pPr>
              <w:ind w:left="380"/>
              <w:spacing w:after="0"/>
              <w:rPr>
                <w:sz w:val="20"/>
                <w:szCs w:val="20"/>
                <w:color w:val="auto"/>
              </w:rPr>
            </w:pPr>
            <w:r>
              <w:rPr>
                <w:rFonts w:ascii="Arial" w:cs="Arial" w:eastAsia="Arial" w:hAnsi="Arial"/>
                <w:sz w:val="16"/>
                <w:szCs w:val="16"/>
                <w:b w:val="1"/>
                <w:bCs w:val="1"/>
                <w:color w:val="auto"/>
              </w:rPr>
              <w:t>Total current liabilities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7,812</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rent, net of current portion</w:t>
            </w: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52"/>
        </w:trPr>
        <w:tc>
          <w:tcPr>
            <w:tcW w:w="8140" w:type="dxa"/>
            <w:vAlign w:val="bottom"/>
          </w:tcPr>
          <w:p>
            <w:pPr>
              <w:ind w:left="40"/>
              <w:spacing w:after="0"/>
              <w:rPr>
                <w:sz w:val="20"/>
                <w:szCs w:val="20"/>
                <w:color w:val="auto"/>
              </w:rPr>
            </w:pPr>
            <w:r>
              <w:rPr>
                <w:rFonts w:ascii="Arial" w:cs="Arial" w:eastAsia="Arial" w:hAnsi="Arial"/>
                <w:sz w:val="16"/>
                <w:szCs w:val="16"/>
                <w:color w:val="auto"/>
              </w:rPr>
              <w:t>Note payable, net of current portion</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45,947</w:t>
            </w:r>
          </w:p>
        </w:tc>
        <w:tc>
          <w:tcPr>
            <w:tcW w:w="0" w:type="dxa"/>
            <w:vAlign w:val="bottom"/>
          </w:tcPr>
          <w:p>
            <w:pPr>
              <w:spacing w:after="0"/>
              <w:rPr>
                <w:sz w:val="1"/>
                <w:szCs w:val="1"/>
                <w:color w:val="auto"/>
              </w:rPr>
            </w:pPr>
          </w:p>
        </w:tc>
      </w:tr>
      <w:tr>
        <w:trPr>
          <w:trHeight w:val="275"/>
        </w:trPr>
        <w:tc>
          <w:tcPr>
            <w:tcW w:w="8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Liabilities under tax receivable agreement, net of current portion</w:t>
            </w: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6,854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45"/>
        </w:trPr>
        <w:tc>
          <w:tcPr>
            <w:tcW w:w="8140" w:type="dxa"/>
            <w:vAlign w:val="bottom"/>
          </w:tcPr>
          <w:p>
            <w:pPr>
              <w:ind w:left="38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80,253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60,001</w:t>
            </w:r>
          </w:p>
        </w:tc>
        <w:tc>
          <w:tcPr>
            <w:tcW w:w="0" w:type="dxa"/>
            <w:vAlign w:val="bottom"/>
          </w:tcPr>
          <w:p>
            <w:pPr>
              <w:spacing w:after="0"/>
              <w:rPr>
                <w:sz w:val="1"/>
                <w:szCs w:val="1"/>
                <w:color w:val="auto"/>
              </w:rPr>
            </w:pPr>
          </w:p>
        </w:tc>
      </w:tr>
      <w:tr>
        <w:trPr>
          <w:trHeight w:val="241"/>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(see note 7)</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140" w:type="dxa"/>
            <w:vAlign w:val="bottom"/>
          </w:tcPr>
          <w:p>
            <w:pPr>
              <w:ind w:left="40"/>
              <w:spacing w:after="0"/>
              <w:rPr>
                <w:sz w:val="20"/>
                <w:szCs w:val="20"/>
                <w:color w:val="auto"/>
              </w:rPr>
            </w:pPr>
            <w:r>
              <w:rPr>
                <w:rFonts w:ascii="Arial" w:cs="Arial" w:eastAsia="Arial" w:hAnsi="Arial"/>
                <w:sz w:val="16"/>
                <w:szCs w:val="16"/>
                <w:color w:val="auto"/>
              </w:rPr>
              <w:t>Class A common stock, $.01 par value per share - 300,000 shares authorized, 14,522 shares issued and</w:t>
            </w:r>
          </w:p>
        </w:tc>
        <w:tc>
          <w:tcPr>
            <w:tcW w:w="260" w:type="dxa"/>
            <w:vAlign w:val="bottom"/>
          </w:tcPr>
          <w:p>
            <w:pPr>
              <w:spacing w:after="0"/>
              <w:rPr>
                <w:sz w:val="17"/>
                <w:szCs w:val="17"/>
                <w:color w:val="auto"/>
              </w:rPr>
            </w:pPr>
          </w:p>
        </w:tc>
        <w:tc>
          <w:tcPr>
            <w:tcW w:w="1320" w:type="dxa"/>
            <w:vAlign w:val="bottom"/>
            <w:vMerge w:val="restart"/>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vMerge w:val="restart"/>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8140" w:type="dxa"/>
            <w:vAlign w:val="bottom"/>
          </w:tcPr>
          <w:p>
            <w:pPr>
              <w:ind w:left="40"/>
              <w:spacing w:after="0"/>
              <w:rPr>
                <w:sz w:val="20"/>
                <w:szCs w:val="20"/>
                <w:color w:val="auto"/>
              </w:rPr>
            </w:pPr>
            <w:r>
              <w:rPr>
                <w:rFonts w:ascii="Arial" w:cs="Arial" w:eastAsia="Arial" w:hAnsi="Arial"/>
                <w:sz w:val="16"/>
                <w:szCs w:val="16"/>
                <w:color w:val="auto"/>
              </w:rPr>
              <w:t>outstanding as of March 31, 2019, 13,800 shares issued and outstanding as of December 31, 2018</w:t>
            </w:r>
          </w:p>
        </w:tc>
        <w:tc>
          <w:tcPr>
            <w:tcW w:w="2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B common stock, $.01 par value per share - 50,000 shares authorized, 21,763 issued and</w:t>
            </w:r>
          </w:p>
        </w:tc>
        <w:tc>
          <w:tcPr>
            <w:tcW w:w="26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4"/>
        </w:trPr>
        <w:tc>
          <w:tcPr>
            <w:tcW w:w="8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as of March 31,2019, 22,486 shares issued and outstanding as of December 31, 2018</w:t>
            </w:r>
          </w:p>
        </w:tc>
        <w:tc>
          <w:tcPr>
            <w:tcW w:w="26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8140" w:type="dxa"/>
            <w:vAlign w:val="bottom"/>
          </w:tcPr>
          <w:p>
            <w:pPr>
              <w:ind w:left="40"/>
              <w:spacing w:after="0"/>
              <w:rPr>
                <w:sz w:val="20"/>
                <w:szCs w:val="20"/>
                <w:color w:val="auto"/>
              </w:rPr>
            </w:pPr>
            <w:r>
              <w:rPr>
                <w:rFonts w:ascii="Arial" w:cs="Arial" w:eastAsia="Arial" w:hAnsi="Arial"/>
                <w:sz w:val="16"/>
                <w:szCs w:val="16"/>
                <w:color w:val="auto"/>
              </w:rPr>
              <w:t>Additional paid in capital</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86,483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88,811</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deficit</w:t>
            </w:r>
          </w:p>
        </w:tc>
        <w:tc>
          <w:tcPr>
            <w:tcW w:w="2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(10,068)</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(6,578)</w:t>
            </w:r>
          </w:p>
        </w:tc>
        <w:tc>
          <w:tcPr>
            <w:tcW w:w="0" w:type="dxa"/>
            <w:vAlign w:val="bottom"/>
          </w:tcPr>
          <w:p>
            <w:pPr>
              <w:spacing w:after="0"/>
              <w:rPr>
                <w:sz w:val="1"/>
                <w:szCs w:val="1"/>
                <w:color w:val="auto"/>
              </w:rPr>
            </w:pPr>
          </w:p>
        </w:tc>
      </w:tr>
      <w:tr>
        <w:trPr>
          <w:trHeight w:val="245"/>
        </w:trPr>
        <w:tc>
          <w:tcPr>
            <w:tcW w:w="8140" w:type="dxa"/>
            <w:vAlign w:val="bottom"/>
          </w:tcPr>
          <w:p>
            <w:pPr>
              <w:ind w:left="380"/>
              <w:spacing w:after="0"/>
              <w:rPr>
                <w:sz w:val="20"/>
                <w:szCs w:val="20"/>
                <w:color w:val="auto"/>
              </w:rPr>
            </w:pPr>
            <w:r>
              <w:rPr>
                <w:rFonts w:ascii="Arial" w:cs="Arial" w:eastAsia="Arial" w:hAnsi="Arial"/>
                <w:sz w:val="16"/>
                <w:szCs w:val="16"/>
                <w:b w:val="1"/>
                <w:bCs w:val="1"/>
                <w:color w:val="auto"/>
              </w:rPr>
              <w:t>Total stockholders' equity</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76,777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82,595</w:t>
            </w:r>
          </w:p>
        </w:tc>
        <w:tc>
          <w:tcPr>
            <w:tcW w:w="0" w:type="dxa"/>
            <w:vAlign w:val="bottom"/>
          </w:tcPr>
          <w:p>
            <w:pPr>
              <w:spacing w:after="0"/>
              <w:rPr>
                <w:sz w:val="1"/>
                <w:szCs w:val="1"/>
                <w:color w:val="auto"/>
              </w:rPr>
            </w:pPr>
          </w:p>
        </w:tc>
      </w:tr>
      <w:tr>
        <w:trPr>
          <w:trHeight w:val="261"/>
        </w:trPr>
        <w:tc>
          <w:tcPr>
            <w:tcW w:w="8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2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(108,628)</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(107,798)</w:t>
            </w:r>
          </w:p>
        </w:tc>
        <w:tc>
          <w:tcPr>
            <w:tcW w:w="0" w:type="dxa"/>
            <w:vAlign w:val="bottom"/>
          </w:tcPr>
          <w:p>
            <w:pPr>
              <w:spacing w:after="0"/>
              <w:rPr>
                <w:sz w:val="1"/>
                <w:szCs w:val="1"/>
                <w:color w:val="auto"/>
              </w:rPr>
            </w:pPr>
          </w:p>
        </w:tc>
      </w:tr>
      <w:tr>
        <w:trPr>
          <w:trHeight w:val="245"/>
        </w:trPr>
        <w:tc>
          <w:tcPr>
            <w:tcW w:w="8140" w:type="dxa"/>
            <w:vAlign w:val="bottom"/>
            <w:tcBorders>
              <w:bottom w:val="single" w:sz="8" w:color="CCEEFF"/>
            </w:tcBorders>
          </w:tcPr>
          <w:p>
            <w:pPr>
              <w:ind w:left="380"/>
              <w:spacing w:after="0"/>
              <w:rPr>
                <w:sz w:val="20"/>
                <w:szCs w:val="20"/>
                <w:color w:val="auto"/>
              </w:rPr>
            </w:pPr>
            <w:r>
              <w:rPr>
                <w:rFonts w:ascii="Arial" w:cs="Arial" w:eastAsia="Arial" w:hAnsi="Arial"/>
                <w:sz w:val="16"/>
                <w:szCs w:val="16"/>
                <w:b w:val="1"/>
                <w:bCs w:val="1"/>
                <w:color w:val="auto"/>
              </w:rPr>
              <w:t>Total equity</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(31,851)</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(25,203)</w:t>
            </w: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34,798</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the Condensed Consolidated Financial Statements</w:t>
      </w:r>
    </w:p>
    <w:p>
      <w:pPr>
        <w:sectPr>
          <w:pgSz w:w="11900" w:h="16838" w:orient="portrait"/>
          <w:cols w:equalWidth="0" w:num="1">
            <w:col w:w="11420"/>
          </w:cols>
          <w:pgMar w:left="240" w:top="1077" w:right="239" w:bottom="1440"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077"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5"/>
          <w:szCs w:val="25"/>
          <w:b w:val="1"/>
          <w:bCs w:val="1"/>
          <w:color w:val="auto"/>
        </w:rPr>
        <w:t>Goosehead Insurance, Inc.</w:t>
      </w:r>
    </w:p>
    <w:p>
      <w:pPr>
        <w:spacing w:after="0" w:line="46" w:lineRule="exact"/>
        <w:rPr>
          <w:sz w:val="20"/>
          <w:szCs w:val="20"/>
          <w:color w:val="auto"/>
        </w:rPr>
      </w:pPr>
    </w:p>
    <w:p>
      <w:pPr>
        <w:ind w:right="5360"/>
        <w:spacing w:after="0" w:line="247" w:lineRule="auto"/>
        <w:rPr>
          <w:sz w:val="20"/>
          <w:szCs w:val="20"/>
          <w:color w:val="auto"/>
        </w:rPr>
      </w:pPr>
      <w:r>
        <w:rPr>
          <w:rFonts w:ascii="Arial" w:cs="Arial" w:eastAsia="Arial" w:hAnsi="Arial"/>
          <w:sz w:val="25"/>
          <w:szCs w:val="25"/>
          <w:b w:val="1"/>
          <w:bCs w:val="1"/>
          <w:color w:val="auto"/>
        </w:rPr>
        <w:t>Condensed Consolidated Statements of Income (Unaudited)</w:t>
      </w: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51"/>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7580" w:type="dxa"/>
            <w:vAlign w:val="bottom"/>
          </w:tcPr>
          <w:p>
            <w:pPr>
              <w:ind w:left="180"/>
              <w:spacing w:after="0"/>
              <w:rPr>
                <w:sz w:val="20"/>
                <w:szCs w:val="20"/>
                <w:color w:val="auto"/>
              </w:rPr>
            </w:pPr>
            <w:r>
              <w:rPr>
                <w:rFonts w:ascii="Arial" w:cs="Arial" w:eastAsia="Arial" w:hAnsi="Arial"/>
                <w:sz w:val="18"/>
                <w:szCs w:val="18"/>
                <w:color w:val="auto"/>
              </w:rPr>
              <w:t>Commissions and agency fees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16,170</w:t>
            </w:r>
          </w:p>
        </w:tc>
        <w:tc>
          <w:tcPr>
            <w:tcW w:w="200" w:type="dxa"/>
            <w:vAlign w:val="bottom"/>
          </w:tcPr>
          <w:p>
            <w:pPr>
              <w:spacing w:after="0"/>
              <w:rPr>
                <w:sz w:val="21"/>
                <w:szCs w:val="21"/>
                <w:color w:val="auto"/>
              </w:rPr>
            </w:pP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61"/>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Franchise revenues</w:t>
            </w: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6,828</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52"/>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55"/>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23,133</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14,589</w:t>
            </w:r>
          </w:p>
        </w:tc>
        <w:tc>
          <w:tcPr>
            <w:tcW w:w="0" w:type="dxa"/>
            <w:vAlign w:val="bottom"/>
          </w:tcPr>
          <w:p>
            <w:pPr>
              <w:spacing w:after="0"/>
              <w:rPr>
                <w:sz w:val="1"/>
                <w:szCs w:val="1"/>
                <w:color w:val="auto"/>
              </w:rPr>
            </w:pPr>
          </w:p>
        </w:tc>
      </w:tr>
      <w:tr>
        <w:trPr>
          <w:trHeight w:val="256"/>
        </w:trPr>
        <w:tc>
          <w:tcPr>
            <w:tcW w:w="75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9,191</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6,835</w:t>
            </w:r>
          </w:p>
        </w:tc>
        <w:tc>
          <w:tcPr>
            <w:tcW w:w="0" w:type="dxa"/>
            <w:vAlign w:val="bottom"/>
          </w:tcPr>
          <w:p>
            <w:pPr>
              <w:spacing w:after="0"/>
              <w:rPr>
                <w:sz w:val="1"/>
                <w:szCs w:val="1"/>
                <w:color w:val="auto"/>
              </w:rPr>
            </w:pPr>
          </w:p>
        </w:tc>
      </w:tr>
      <w:tr>
        <w:trPr>
          <w:trHeight w:val="252"/>
        </w:trPr>
        <w:tc>
          <w:tcPr>
            <w:tcW w:w="758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4,430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61"/>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debts</w:t>
            </w: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52"/>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423</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55"/>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14,445</w:t>
            </w:r>
          </w:p>
        </w:tc>
        <w:tc>
          <w:tcPr>
            <w:tcW w:w="2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9,826</w:t>
            </w:r>
          </w:p>
        </w:tc>
        <w:tc>
          <w:tcPr>
            <w:tcW w:w="0" w:type="dxa"/>
            <w:vAlign w:val="bottom"/>
          </w:tcPr>
          <w:p>
            <w:pPr>
              <w:spacing w:after="0"/>
              <w:rPr>
                <w:sz w:val="1"/>
                <w:szCs w:val="1"/>
                <w:color w:val="auto"/>
              </w:rPr>
            </w:pPr>
          </w:p>
        </w:tc>
      </w:tr>
      <w:tr>
        <w:trPr>
          <w:trHeight w:val="245"/>
        </w:trPr>
        <w:tc>
          <w:tcPr>
            <w:tcW w:w="7580" w:type="dxa"/>
            <w:vAlign w:val="bottom"/>
          </w:tcPr>
          <w:p>
            <w:pPr>
              <w:ind w:left="38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8,688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61"/>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55"/>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Income before taxes</w:t>
            </w:r>
          </w:p>
        </w:tc>
        <w:tc>
          <w:tcPr>
            <w:tcW w:w="3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8,062</w:t>
            </w:r>
          </w:p>
        </w:tc>
        <w:tc>
          <w:tcPr>
            <w:tcW w:w="2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45"/>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Tax expense</w:t>
            </w: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744</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7,318</w:t>
            </w:r>
          </w:p>
        </w:tc>
        <w:tc>
          <w:tcPr>
            <w:tcW w:w="2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45"/>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4,846</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Goosehead Insurance, Inc.</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2,472</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5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0.17</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52"/>
        </w:trPr>
        <w:tc>
          <w:tcPr>
            <w:tcW w:w="75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61"/>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of Class A common stock outstanding</w:t>
            </w: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758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14,211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61"/>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15,289</w:t>
            </w: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4"/>
        </w:trPr>
        <w:tc>
          <w:tcPr>
            <w:tcW w:w="7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Pro forma earnings per share:</w:t>
            </w:r>
          </w:p>
        </w:tc>
        <w:tc>
          <w:tcPr>
            <w:tcW w:w="3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758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560" w:type="dxa"/>
            <w:vAlign w:val="bottom"/>
            <w:gridSpan w:val="2"/>
          </w:tcPr>
          <w:p>
            <w:pPr>
              <w:ind w:left="1000"/>
              <w:spacing w:after="0"/>
              <w:rPr>
                <w:sz w:val="20"/>
                <w:szCs w:val="20"/>
                <w:color w:val="auto"/>
              </w:rPr>
            </w:pPr>
            <w:r>
              <w:rPr>
                <w:rFonts w:ascii="Arial" w:cs="Arial" w:eastAsia="Arial" w:hAnsi="Arial"/>
                <w:sz w:val="18"/>
                <w:szCs w:val="18"/>
                <w:color w:val="auto"/>
              </w:rPr>
              <w:t>n/a</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61"/>
        </w:trPr>
        <w:tc>
          <w:tcPr>
            <w:tcW w:w="7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n/a</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the Condensed Consolidated Financial Statements</w:t>
      </w: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240" w:top="564" w:right="55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auto"/>
        </w:rPr>
        <w:t>Goosehead Insurance, Inc.</w:t>
      </w:r>
    </w:p>
    <w:p>
      <w:pPr>
        <w:spacing w:after="0" w:line="46" w:lineRule="exact"/>
        <w:rPr>
          <w:sz w:val="20"/>
          <w:szCs w:val="20"/>
          <w:color w:val="auto"/>
        </w:rPr>
      </w:pPr>
    </w:p>
    <w:p>
      <w:pPr>
        <w:ind w:right="4220"/>
        <w:spacing w:after="0" w:line="247" w:lineRule="auto"/>
        <w:rPr>
          <w:sz w:val="20"/>
          <w:szCs w:val="20"/>
          <w:color w:val="auto"/>
        </w:rPr>
      </w:pPr>
      <w:r>
        <w:rPr>
          <w:rFonts w:ascii="Arial" w:cs="Arial" w:eastAsia="Arial" w:hAnsi="Arial"/>
          <w:sz w:val="25"/>
          <w:szCs w:val="25"/>
          <w:b w:val="1"/>
          <w:bCs w:val="1"/>
          <w:color w:val="auto"/>
        </w:rPr>
        <w:t>Condensed Consolidated Statement of Stockholders' Equity (Unaudited)</w:t>
      </w:r>
    </w:p>
    <w:p>
      <w:pPr>
        <w:spacing w:after="0"/>
        <w:rPr>
          <w:sz w:val="20"/>
          <w:szCs w:val="20"/>
          <w:color w:val="auto"/>
        </w:rPr>
      </w:pPr>
      <w:r>
        <w:rPr>
          <w:rFonts w:ascii="Arial" w:cs="Arial" w:eastAsia="Arial" w:hAnsi="Arial"/>
          <w:sz w:val="18"/>
          <w:szCs w:val="18"/>
          <w:i w:val="1"/>
          <w:iCs w:val="1"/>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Issued</w:t>
            </w: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Issued</w:t>
            </w: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of Class</w:t>
            </w: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of Class</w:t>
            </w: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A</w:t>
            </w: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B</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Class A</w:t>
            </w: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Class B</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Additional</w:t>
            </w:r>
          </w:p>
        </w:tc>
        <w:tc>
          <w:tcPr>
            <w:tcW w:w="126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Non-</w:t>
            </w:r>
          </w:p>
        </w:tc>
        <w:tc>
          <w:tcPr>
            <w:tcW w:w="760" w:type="dxa"/>
            <w:vAlign w:val="bottom"/>
          </w:tcPr>
          <w:p>
            <w:pPr>
              <w:spacing w:after="0"/>
              <w:rPr>
                <w:sz w:val="16"/>
                <w:szCs w:val="16"/>
                <w:color w:val="auto"/>
              </w:rPr>
            </w:pPr>
          </w:p>
        </w:tc>
      </w:tr>
      <w:tr>
        <w:trPr>
          <w:trHeight w:val="189"/>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Members'</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common</w:t>
            </w: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common</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Common</w:t>
            </w: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Common</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paid in</w:t>
            </w: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Accumulated</w:t>
            </w: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stockholders'</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controlling</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2"/>
        </w:trPr>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deficit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stock</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stock</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stock</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Stock</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capital</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deficit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equity</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interest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equity</w:t>
            </w:r>
          </w:p>
        </w:tc>
      </w:tr>
      <w:tr>
        <w:trPr>
          <w:trHeight w:val="213"/>
        </w:trPr>
        <w:tc>
          <w:tcPr>
            <w:tcW w:w="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7"/>
                <w:shd w:val="clear" w:color="auto" w:fill="CCEEFF"/>
              </w:rPr>
              <w:t>Balance at</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6"/>
        </w:trPr>
        <w:tc>
          <w:tcPr>
            <w:tcW w:w="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8"/>
                <w:shd w:val="clear" w:color="auto" w:fill="CCEEFF"/>
              </w:rPr>
              <w:t>January 1,</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2018</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(41,133)</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(41,133)</w:t>
            </w:r>
          </w:p>
        </w:tc>
      </w:tr>
      <w:tr>
        <w:trPr>
          <w:trHeight w:val="262"/>
        </w:trPr>
        <w:tc>
          <w:tcPr>
            <w:tcW w:w="1320" w:type="dxa"/>
            <w:vAlign w:val="bottom"/>
            <w:gridSpan w:val="3"/>
          </w:tcPr>
          <w:p>
            <w:pPr>
              <w:ind w:left="40"/>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3,768</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3,768</w:t>
            </w:r>
          </w:p>
        </w:tc>
      </w:tr>
      <w:tr>
        <w:trPr>
          <w:trHeight w:val="283"/>
        </w:trPr>
        <w:tc>
          <w:tcPr>
            <w:tcW w:w="1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w w:val="99"/>
                <w:shd w:val="clear" w:color="auto" w:fill="CCEEFF"/>
              </w:rPr>
              <w:t>Capital withdrawn</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191"/>
        </w:trPr>
        <w:tc>
          <w:tcPr>
            <w:tcW w:w="132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color w:val="auto"/>
              </w:rPr>
              <w:t>Balance March</w:t>
            </w:r>
          </w:p>
        </w:tc>
        <w:tc>
          <w:tcPr>
            <w:tcW w:w="10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28"/>
        </w:trPr>
        <w:tc>
          <w:tcPr>
            <w:tcW w:w="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96"/>
              </w:rPr>
              <w:t>31, 2018</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(37,365)</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(37,365)</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07"/>
        </w:trPr>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Issued</w:t>
            </w: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Issued</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9"/>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shares</w:t>
            </w: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of Class</w:t>
            </w: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of Class</w:t>
            </w: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A</w:t>
            </w: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B</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Class A</w:t>
            </w: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Class B</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Additional</w:t>
            </w:r>
          </w:p>
        </w:tc>
        <w:tc>
          <w:tcPr>
            <w:tcW w:w="126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Total</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Non-</w:t>
            </w:r>
          </w:p>
        </w:tc>
        <w:tc>
          <w:tcPr>
            <w:tcW w:w="760" w:type="dxa"/>
            <w:vAlign w:val="bottom"/>
          </w:tcPr>
          <w:p>
            <w:pPr>
              <w:spacing w:after="0"/>
              <w:rPr>
                <w:sz w:val="16"/>
                <w:szCs w:val="16"/>
                <w:color w:val="auto"/>
              </w:rPr>
            </w:pPr>
          </w:p>
        </w:tc>
      </w:tr>
      <w:tr>
        <w:trPr>
          <w:trHeight w:val="189"/>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Members'</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common</w:t>
            </w: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common</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Common</w:t>
            </w: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Common</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paid in</w:t>
            </w: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Accumulated</w:t>
            </w: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stockholders'</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controlling</w:t>
            </w: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2"/>
        </w:trPr>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deficit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stock</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stock</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stock</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Stock</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capital</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deficit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equity</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interest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equity</w:t>
            </w:r>
          </w:p>
        </w:tc>
      </w:tr>
      <w:tr>
        <w:trPr>
          <w:trHeight w:val="213"/>
        </w:trPr>
        <w:tc>
          <w:tcPr>
            <w:tcW w:w="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shd w:val="clear" w:color="auto" w:fill="CCEEFF"/>
              </w:rPr>
              <w:t>Balance,</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89"/>
        </w:trPr>
        <w:tc>
          <w:tcPr>
            <w:tcW w:w="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81"/>
                <w:shd w:val="clear" w:color="auto" w:fill="CCEEFF"/>
              </w:rPr>
              <w:t>December</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shd w:val="clear" w:color="auto" w:fill="CCEEFF"/>
              </w:rPr>
              <w:t>31,</w:t>
            </w: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96"/>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2018</w:t>
            </w: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13,799</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22,486</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224</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88,811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(6,578)</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82,595</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(107,798)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(25,203)</w:t>
            </w:r>
          </w:p>
        </w:tc>
      </w:tr>
      <w:tr>
        <w:trPr>
          <w:trHeight w:val="262"/>
        </w:trPr>
        <w:tc>
          <w:tcPr>
            <w:tcW w:w="1320" w:type="dxa"/>
            <w:vAlign w:val="bottom"/>
            <w:gridSpan w:val="3"/>
          </w:tcPr>
          <w:p>
            <w:pPr>
              <w:ind w:left="40"/>
              <w:spacing w:after="0"/>
              <w:rPr>
                <w:sz w:val="20"/>
                <w:szCs w:val="20"/>
                <w:color w:val="auto"/>
              </w:rPr>
            </w:pPr>
            <w:r>
              <w:rPr>
                <w:rFonts w:ascii="Arial" w:cs="Arial" w:eastAsia="Arial" w:hAnsi="Arial"/>
                <w:sz w:val="16"/>
                <w:szCs w:val="16"/>
                <w:color w:val="auto"/>
              </w:rPr>
              <w:t>Distributions</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(245)</w:t>
            </w:r>
          </w:p>
        </w:tc>
        <w:tc>
          <w:tcPr>
            <w:tcW w:w="76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24"/>
        </w:trPr>
        <w:tc>
          <w:tcPr>
            <w:tcW w:w="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Dividends</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96"/>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shd w:val="clear" w:color="auto" w:fill="CCEEFF"/>
              </w:rPr>
              <w:t>declared</w:t>
            </w:r>
          </w:p>
        </w:tc>
        <w:tc>
          <w:tcPr>
            <w:tcW w:w="1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(5,962)</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(5,962)</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262"/>
        </w:trPr>
        <w:tc>
          <w:tcPr>
            <w:tcW w:w="1320" w:type="dxa"/>
            <w:vAlign w:val="bottom"/>
            <w:gridSpan w:val="3"/>
          </w:tcPr>
          <w:p>
            <w:pPr>
              <w:ind w:left="40"/>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2,472</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2,472</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4,846</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7,318</w:t>
            </w:r>
          </w:p>
        </w:tc>
      </w:tr>
      <w:tr>
        <w:trPr>
          <w:trHeight w:val="224"/>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Equity-based</w:t>
            </w:r>
          </w:p>
        </w:tc>
        <w:tc>
          <w:tcPr>
            <w:tcW w:w="10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96"/>
        </w:trPr>
        <w:tc>
          <w:tcPr>
            <w:tcW w:w="1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compensation</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368</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368</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r>
      <w:tr>
        <w:trPr>
          <w:trHeight w:val="198"/>
        </w:trPr>
        <w:tc>
          <w:tcPr>
            <w:tcW w:w="1320" w:type="dxa"/>
            <w:vAlign w:val="bottom"/>
            <w:gridSpan w:val="3"/>
          </w:tcPr>
          <w:p>
            <w:pPr>
              <w:ind w:left="40"/>
              <w:spacing w:after="0"/>
              <w:rPr>
                <w:sz w:val="20"/>
                <w:szCs w:val="20"/>
                <w:color w:val="auto"/>
              </w:rPr>
            </w:pPr>
            <w:r>
              <w:rPr>
                <w:rFonts w:ascii="Arial" w:cs="Arial" w:eastAsia="Arial" w:hAnsi="Arial"/>
                <w:sz w:val="16"/>
                <w:szCs w:val="16"/>
                <w:color w:val="auto"/>
              </w:rPr>
              <w:t>Redemption of</w:t>
            </w: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6"/>
        </w:trPr>
        <w:tc>
          <w:tcPr>
            <w:tcW w:w="1320" w:type="dxa"/>
            <w:vAlign w:val="bottom"/>
            <w:gridSpan w:val="3"/>
          </w:tcPr>
          <w:p>
            <w:pPr>
              <w:ind w:left="40"/>
              <w:spacing w:after="0"/>
              <w:rPr>
                <w:sz w:val="20"/>
                <w:szCs w:val="20"/>
                <w:color w:val="auto"/>
              </w:rPr>
            </w:pPr>
            <w:r>
              <w:rPr>
                <w:rFonts w:ascii="Arial" w:cs="Arial" w:eastAsia="Arial" w:hAnsi="Arial"/>
                <w:sz w:val="16"/>
                <w:szCs w:val="16"/>
                <w:color w:val="auto"/>
              </w:rPr>
              <w:t>LLC Units</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723</w:t>
            </w:r>
          </w:p>
        </w:tc>
        <w:tc>
          <w:tcPr>
            <w:tcW w:w="920" w:type="dxa"/>
            <w:vAlign w:val="bottom"/>
          </w:tcPr>
          <w:p>
            <w:pPr>
              <w:jc w:val="right"/>
              <w:spacing w:after="0"/>
              <w:rPr>
                <w:sz w:val="20"/>
                <w:szCs w:val="20"/>
                <w:color w:val="auto"/>
              </w:rPr>
            </w:pPr>
            <w:r>
              <w:rPr>
                <w:rFonts w:ascii="Arial" w:cs="Arial" w:eastAsia="Arial" w:hAnsi="Arial"/>
                <w:sz w:val="16"/>
                <w:szCs w:val="16"/>
                <w:color w:val="auto"/>
              </w:rPr>
              <w:t>(723)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(3,607)</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(3,607)</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3,607</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Deferred tax</w:t>
            </w:r>
          </w:p>
        </w:tc>
        <w:tc>
          <w:tcPr>
            <w:tcW w:w="10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9"/>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adjustments</w:t>
            </w: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9"/>
        </w:trPr>
        <w:tc>
          <w:tcPr>
            <w:tcW w:w="1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related to Tax</w:t>
            </w:r>
          </w:p>
        </w:tc>
        <w:tc>
          <w:tcPr>
            <w:tcW w:w="10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71"/>
        </w:trPr>
        <w:tc>
          <w:tcPr>
            <w:tcW w:w="1320" w:type="dxa"/>
            <w:vAlign w:val="bottom"/>
            <w:gridSpan w:val="3"/>
            <w:shd w:val="clear" w:color="auto" w:fill="CCEEFF"/>
          </w:tcPr>
          <w:p>
            <w:pPr>
              <w:ind w:left="40"/>
              <w:spacing w:after="0" w:line="171" w:lineRule="exact"/>
              <w:rPr>
                <w:sz w:val="20"/>
                <w:szCs w:val="20"/>
                <w:color w:val="auto"/>
              </w:rPr>
            </w:pPr>
            <w:r>
              <w:rPr>
                <w:rFonts w:ascii="Arial" w:cs="Arial" w:eastAsia="Arial" w:hAnsi="Arial"/>
                <w:sz w:val="16"/>
                <w:szCs w:val="16"/>
                <w:color w:val="auto"/>
              </w:rPr>
              <w:t>Receivable</w:t>
            </w:r>
          </w:p>
        </w:tc>
        <w:tc>
          <w:tcPr>
            <w:tcW w:w="10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239"/>
        </w:trPr>
        <w:tc>
          <w:tcPr>
            <w:tcW w:w="1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Agreement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911</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911</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911</w:t>
            </w:r>
          </w:p>
        </w:tc>
      </w:tr>
      <w:tr>
        <w:trPr>
          <w:trHeight w:val="191"/>
        </w:trPr>
        <w:tc>
          <w:tcPr>
            <w:tcW w:w="132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color w:val="auto"/>
              </w:rPr>
              <w:t>Balance March</w:t>
            </w:r>
          </w:p>
        </w:tc>
        <w:tc>
          <w:tcPr>
            <w:tcW w:w="10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28"/>
        </w:trPr>
        <w:tc>
          <w:tcPr>
            <w:tcW w:w="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96"/>
              </w:rPr>
              <w:t>31, 2019</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14,522</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21,763</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217</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86,483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(10,068)</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76,777</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(108,628)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(31,851)</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the Condensed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64" w:right="2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auto"/>
        </w:rPr>
        <w:t>Goosehead Insurance, Inc.</w:t>
      </w:r>
    </w:p>
    <w:p>
      <w:pPr>
        <w:spacing w:after="0" w:line="46" w:lineRule="exact"/>
        <w:rPr>
          <w:sz w:val="20"/>
          <w:szCs w:val="20"/>
          <w:color w:val="auto"/>
        </w:rPr>
      </w:pPr>
    </w:p>
    <w:p>
      <w:pPr>
        <w:ind w:right="5160"/>
        <w:spacing w:after="0" w:line="247" w:lineRule="auto"/>
        <w:rPr>
          <w:sz w:val="20"/>
          <w:szCs w:val="20"/>
          <w:color w:val="auto"/>
        </w:rPr>
      </w:pPr>
      <w:r>
        <w:rPr>
          <w:rFonts w:ascii="Arial" w:cs="Arial" w:eastAsia="Arial" w:hAnsi="Arial"/>
          <w:sz w:val="25"/>
          <w:szCs w:val="25"/>
          <w:b w:val="1"/>
          <w:bCs w:val="1"/>
          <w:color w:val="auto"/>
        </w:rPr>
        <w:t>Condensed Consolidated Statements of Cash Flows (Unaudited)</w:t>
      </w:r>
    </w:p>
    <w:p>
      <w:pPr>
        <w:spacing w:after="0"/>
        <w:rPr>
          <w:sz w:val="20"/>
          <w:szCs w:val="20"/>
          <w:color w:val="auto"/>
        </w:rPr>
      </w:pPr>
      <w:r>
        <w:rPr>
          <w:rFonts w:ascii="Arial" w:cs="Arial" w:eastAsia="Arial" w:hAnsi="Arial"/>
          <w:sz w:val="18"/>
          <w:szCs w:val="18"/>
          <w:i w:val="1"/>
          <w:iCs w:val="1"/>
          <w:color w:val="auto"/>
        </w:rPr>
        <w:t>(In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 March 31</w:t>
            </w:r>
          </w:p>
        </w:tc>
      </w:tr>
      <w:tr>
        <w:trPr>
          <w:trHeight w:val="264"/>
        </w:trPr>
        <w:tc>
          <w:tcPr>
            <w:tcW w:w="8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65"/>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7,318</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3,768</w:t>
            </w: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65"/>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337</w:t>
            </w:r>
          </w:p>
        </w:tc>
      </w:tr>
      <w:tr>
        <w:trPr>
          <w:trHeight w:val="275"/>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expense</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65"/>
        </w:trPr>
        <w:tc>
          <w:tcPr>
            <w:tcW w:w="8340" w:type="dxa"/>
            <w:vAlign w:val="bottom"/>
          </w:tcPr>
          <w:p>
            <w:pPr>
              <w:ind w:left="180"/>
              <w:spacing w:after="0"/>
              <w:rPr>
                <w:sz w:val="20"/>
                <w:szCs w:val="20"/>
                <w:color w:val="auto"/>
              </w:rPr>
            </w:pPr>
            <w:r>
              <w:rPr>
                <w:rFonts w:ascii="Arial" w:cs="Arial" w:eastAsia="Arial" w:hAnsi="Arial"/>
                <w:sz w:val="18"/>
                <w:szCs w:val="18"/>
                <w:color w:val="auto"/>
              </w:rPr>
              <w:t>Equity-based compensation</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5"/>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tax receivable agreement liability</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5,161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5"/>
        </w:trPr>
        <w:tc>
          <w:tcPr>
            <w:tcW w:w="83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(5,081)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5"/>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65"/>
        </w:trPr>
        <w:tc>
          <w:tcPr>
            <w:tcW w:w="8340" w:type="dxa"/>
            <w:vAlign w:val="bottom"/>
          </w:tcPr>
          <w:p>
            <w:pPr>
              <w:ind w:left="380"/>
              <w:spacing w:after="0"/>
              <w:rPr>
                <w:sz w:val="20"/>
                <w:szCs w:val="20"/>
                <w:color w:val="auto"/>
              </w:rPr>
            </w:pPr>
            <w:r>
              <w:rPr>
                <w:rFonts w:ascii="Arial" w:cs="Arial" w:eastAsia="Arial" w:hAnsi="Arial"/>
                <w:sz w:val="18"/>
                <w:szCs w:val="18"/>
                <w:color w:val="auto"/>
              </w:rPr>
              <w:t>Dividends held by transfer agent</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(5,962)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5"/>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Commissions and agency fees receivable</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65"/>
        </w:trPr>
        <w:tc>
          <w:tcPr>
            <w:tcW w:w="8340" w:type="dxa"/>
            <w:vAlign w:val="bottom"/>
          </w:tcPr>
          <w:p>
            <w:pPr>
              <w:ind w:left="380"/>
              <w:spacing w:after="0"/>
              <w:rPr>
                <w:sz w:val="20"/>
                <w:szCs w:val="20"/>
                <w:color w:val="auto"/>
              </w:rPr>
            </w:pPr>
            <w:r>
              <w:rPr>
                <w:rFonts w:ascii="Arial" w:cs="Arial" w:eastAsia="Arial" w:hAnsi="Arial"/>
                <w:sz w:val="18"/>
                <w:szCs w:val="18"/>
                <w:color w:val="auto"/>
              </w:rPr>
              <w:t>Receivable from franchisees</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75"/>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65"/>
        </w:trPr>
        <w:tc>
          <w:tcPr>
            <w:tcW w:w="834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(2,827)</w:t>
            </w:r>
          </w:p>
        </w:tc>
      </w:tr>
      <w:tr>
        <w:trPr>
          <w:trHeight w:val="275"/>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2,167</w:t>
            </w:r>
          </w:p>
        </w:tc>
      </w:tr>
      <w:tr>
        <w:trPr>
          <w:trHeight w:val="265"/>
        </w:trPr>
        <w:tc>
          <w:tcPr>
            <w:tcW w:w="8340" w:type="dxa"/>
            <w:vAlign w:val="bottom"/>
          </w:tcPr>
          <w:p>
            <w:pPr>
              <w:ind w:left="380"/>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284</w:t>
            </w:r>
          </w:p>
        </w:tc>
      </w:tr>
      <w:tr>
        <w:trPr>
          <w:trHeight w:val="275"/>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Premiums payable</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65"/>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Unearned revenue</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r>
      <w:tr>
        <w:trPr>
          <w:trHeight w:val="25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2,575</w:t>
            </w:r>
          </w:p>
        </w:tc>
      </w:tr>
      <w:tr>
        <w:trPr>
          <w:trHeight w:val="247"/>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notes receivable</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65"/>
        </w:trPr>
        <w:tc>
          <w:tcPr>
            <w:tcW w:w="8340" w:type="dxa"/>
            <w:vAlign w:val="bottom"/>
          </w:tcPr>
          <w:p>
            <w:pPr>
              <w:ind w:left="180"/>
              <w:spacing w:after="0"/>
              <w:rPr>
                <w:sz w:val="20"/>
                <w:szCs w:val="20"/>
                <w:color w:val="auto"/>
              </w:rPr>
            </w:pPr>
            <w:r>
              <w:rPr>
                <w:rFonts w:ascii="Arial" w:cs="Arial" w:eastAsia="Arial" w:hAnsi="Arial"/>
                <w:sz w:val="18"/>
                <w:szCs w:val="18"/>
                <w:color w:val="auto"/>
              </w:rPr>
              <w:t>Purchase of software</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5"/>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45"/>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cash used for investing activities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52"/>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3"/>
        </w:trPr>
        <w:tc>
          <w:tcPr>
            <w:tcW w:w="8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4" w:lineRule="exact"/>
        <w:rPr>
          <w:sz w:val="20"/>
          <w:szCs w:val="20"/>
          <w:color w:val="auto"/>
        </w:rPr>
      </w:pPr>
    </w:p>
    <w:p>
      <w:pPr>
        <w:sectPr>
          <w:pgSz w:w="11900" w:h="16838" w:orient="portrait"/>
          <w:cols w:equalWidth="0" w:num="1">
            <w:col w:w="11420"/>
          </w:cols>
          <w:pgMar w:left="240" w:top="564" w:right="239" w:bottom="1440" w:gutter="0" w:footer="0" w:header="0"/>
        </w:sectPr>
      </w:pPr>
    </w:p>
    <w:p>
      <w:pPr>
        <w:ind w:left="180"/>
        <w:spacing w:after="0"/>
        <w:rPr>
          <w:sz w:val="20"/>
          <w:szCs w:val="20"/>
          <w:color w:val="auto"/>
        </w:rPr>
      </w:pPr>
      <w:r>
        <w:rPr>
          <w:rFonts w:ascii="Arial" w:cs="Arial" w:eastAsia="Arial" w:hAnsi="Arial"/>
          <w:sz w:val="18"/>
          <w:szCs w:val="18"/>
          <w:color w:val="auto"/>
        </w:rPr>
        <w:t>Loan origination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Repayment of note payable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Member distributions and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for) financing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increase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and cash equivalents, and restricted cash, beginning of period</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Supplemental disclosures of cash flow data: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4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0"/>
        </w:trPr>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5"/>
        </w:trPr>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r>
      <w:tr>
        <w:trPr>
          <w:trHeight w:val="250"/>
        </w:trPr>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r>
      <w:tr>
        <w:trPr>
          <w:trHeight w:val="245"/>
        </w:trPr>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1,576</w:t>
            </w:r>
          </w:p>
        </w:tc>
      </w:tr>
      <w:tr>
        <w:trPr>
          <w:trHeight w:val="275"/>
        </w:trPr>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19,011</w:t>
            </w:r>
          </w:p>
        </w:tc>
        <w:tc>
          <w:tcPr>
            <w:tcW w:w="1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5,366</w:t>
            </w:r>
          </w:p>
        </w:tc>
      </w:tr>
      <w:tr>
        <w:trPr>
          <w:trHeight w:val="250"/>
        </w:trPr>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18,769</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6,942</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13" w:lineRule="exact"/>
        <w:rPr>
          <w:sz w:val="20"/>
          <w:szCs w:val="20"/>
          <w:color w:val="auto"/>
        </w:rPr>
      </w:pPr>
    </w:p>
    <w:p>
      <w:pPr>
        <w:sectPr>
          <w:pgSz w:w="11900" w:h="16838" w:orient="portrait"/>
          <w:cols w:equalWidth="0" w:num="2">
            <w:col w:w="7620" w:space="720"/>
            <w:col w:w="3080"/>
          </w:cols>
          <w:pgMar w:left="240" w:top="564"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during the year for interest</w:t>
            </w:r>
          </w:p>
        </w:tc>
        <w:tc>
          <w:tcPr>
            <w:tcW w:w="41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626</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897</w:t>
            </w:r>
          </w:p>
        </w:tc>
      </w:tr>
      <w:tr>
        <w:trPr>
          <w:trHeight w:val="261"/>
        </w:trPr>
        <w:tc>
          <w:tcPr>
            <w:tcW w:w="6200" w:type="dxa"/>
            <w:vAlign w:val="bottom"/>
          </w:tcPr>
          <w:p>
            <w:pPr>
              <w:ind w:left="40"/>
              <w:spacing w:after="0"/>
              <w:rPr>
                <w:sz w:val="20"/>
                <w:szCs w:val="20"/>
                <w:color w:val="auto"/>
              </w:rPr>
            </w:pPr>
            <w:r>
              <w:rPr>
                <w:rFonts w:ascii="Arial" w:cs="Arial" w:eastAsia="Arial" w:hAnsi="Arial"/>
                <w:sz w:val="18"/>
                <w:szCs w:val="18"/>
                <w:color w:val="auto"/>
              </w:rPr>
              <w:t>Cash paid for income taxes</w:t>
            </w:r>
          </w:p>
        </w:tc>
        <w:tc>
          <w:tcPr>
            <w:tcW w:w="416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the Condensed Consolidated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64"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25"/>
          <w:szCs w:val="25"/>
          <w:b w:val="1"/>
          <w:bCs w:val="1"/>
          <w:color w:val="auto"/>
        </w:rPr>
        <w:t>Goosehead Insurance, Inc.</w:t>
      </w:r>
    </w:p>
    <w:p>
      <w:pPr>
        <w:spacing w:after="0" w:line="71" w:lineRule="exact"/>
        <w:rPr>
          <w:sz w:val="20"/>
          <w:szCs w:val="20"/>
          <w:color w:val="auto"/>
        </w:rPr>
      </w:pPr>
    </w:p>
    <w:p>
      <w:pPr>
        <w:ind w:right="3039"/>
        <w:spacing w:after="0" w:line="301"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96" w:lineRule="exact"/>
        <w:rPr>
          <w:sz w:val="20"/>
          <w:szCs w:val="20"/>
          <w:color w:val="auto"/>
        </w:rPr>
      </w:pPr>
    </w:p>
    <w:p>
      <w:pPr>
        <w:ind w:left="700"/>
        <w:spacing w:after="0"/>
        <w:rPr>
          <w:sz w:val="20"/>
          <w:szCs w:val="20"/>
          <w:color w:val="auto"/>
        </w:rPr>
      </w:pPr>
      <w:r>
        <w:rPr>
          <w:rFonts w:ascii="Arial" w:cs="Arial" w:eastAsia="Arial" w:hAnsi="Arial"/>
          <w:sz w:val="22"/>
          <w:szCs w:val="22"/>
          <w:b w:val="1"/>
          <w:bCs w:val="1"/>
          <w:color w:val="auto"/>
        </w:rPr>
        <w:t>Goosehead Insurance, Inc.</w:t>
      </w:r>
    </w:p>
    <w:p>
      <w:pPr>
        <w:spacing w:after="0" w:line="58" w:lineRule="exact"/>
        <w:rPr>
          <w:sz w:val="20"/>
          <w:szCs w:val="20"/>
          <w:color w:val="auto"/>
        </w:rPr>
      </w:pPr>
    </w:p>
    <w:tbl>
      <w:tblPr>
        <w:tblLayout w:type="fixed"/>
        <w:tblInd w:w="700" w:type="dxa"/>
        <w:tblCellMar>
          <w:top w:w="0" w:type="dxa"/>
          <w:left w:w="0" w:type="dxa"/>
          <w:bottom w:w="0" w:type="dxa"/>
          <w:right w:w="0" w:type="dxa"/>
        </w:tblCellMar>
      </w:tblPr>
      <w:tr>
        <w:trPr>
          <w:trHeight w:val="251"/>
        </w:trPr>
        <w:tc>
          <w:tcPr>
            <w:tcW w:w="4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Notes to the consolidated financial statements</w:t>
            </w:r>
          </w:p>
        </w:tc>
        <w:tc>
          <w:tcPr>
            <w:tcW w:w="4640" w:type="dxa"/>
            <w:vAlign w:val="bottom"/>
            <w:gridSpan w:val="3"/>
          </w:tcPr>
          <w:p>
            <w:pPr>
              <w:jc w:val="center"/>
              <w:ind w:left="4130"/>
              <w:spacing w:after="0"/>
              <w:rPr>
                <w:sz w:val="20"/>
                <w:szCs w:val="20"/>
                <w:color w:val="auto"/>
              </w:rPr>
            </w:pPr>
            <w:r>
              <w:rPr>
                <w:rFonts w:ascii="Arial" w:cs="Arial" w:eastAsia="Arial" w:hAnsi="Arial"/>
                <w:sz w:val="18"/>
                <w:szCs w:val="18"/>
                <w:color w:val="auto"/>
                <w:w w:val="99"/>
              </w:rPr>
              <w:t>Page</w:t>
            </w:r>
          </w:p>
        </w:tc>
      </w:tr>
      <w:tr>
        <w:trPr>
          <w:trHeight w:val="204"/>
        </w:trPr>
        <w:tc>
          <w:tcPr>
            <w:tcW w:w="4440" w:type="dxa"/>
            <w:vAlign w:val="bottom"/>
            <w:gridSpan w:val="2"/>
          </w:tcPr>
          <w:p>
            <w:pPr>
              <w:spacing w:after="0" w:line="204" w:lineRule="exact"/>
              <w:rPr>
                <w:sz w:val="20"/>
                <w:szCs w:val="20"/>
                <w:color w:val="auto"/>
              </w:rPr>
            </w:pPr>
            <w:r>
              <w:rPr>
                <w:rFonts w:ascii="Arial" w:cs="Arial" w:eastAsia="Arial" w:hAnsi="Arial"/>
                <w:sz w:val="18"/>
                <w:szCs w:val="18"/>
                <w:color w:val="auto"/>
              </w:rPr>
              <w:t>Note 1. Organization</w:t>
            </w:r>
          </w:p>
        </w:tc>
        <w:tc>
          <w:tcPr>
            <w:tcW w:w="4340" w:type="dxa"/>
            <w:vAlign w:val="bottom"/>
          </w:tcPr>
          <w:p>
            <w:pPr>
              <w:spacing w:after="0"/>
              <w:rPr>
                <w:sz w:val="17"/>
                <w:szCs w:val="17"/>
                <w:color w:val="auto"/>
              </w:rPr>
            </w:pPr>
          </w:p>
        </w:tc>
        <w:tc>
          <w:tcPr>
            <w:tcW w:w="200" w:type="dxa"/>
            <w:vAlign w:val="bottom"/>
            <w:tcBorders>
              <w:bottom w:val="single" w:sz="8" w:color="0000EE"/>
            </w:tcBorders>
          </w:tcPr>
          <w:p>
            <w:pPr>
              <w:jc w:val="center"/>
              <w:spacing w:after="0" w:line="204"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11</w:t>
              </w:r>
            </w:hyperlink>
          </w:p>
        </w:tc>
        <w:tc>
          <w:tcPr>
            <w:tcW w:w="100" w:type="dxa"/>
            <w:vAlign w:val="bottom"/>
          </w:tcPr>
          <w:p>
            <w:pPr>
              <w:spacing w:after="0"/>
              <w:rPr>
                <w:sz w:val="17"/>
                <w:szCs w:val="17"/>
                <w:color w:val="auto"/>
              </w:rPr>
            </w:pPr>
          </w:p>
        </w:tc>
      </w:tr>
      <w:tr>
        <w:trPr>
          <w:trHeight w:val="237"/>
        </w:trPr>
        <w:tc>
          <w:tcPr>
            <w:tcW w:w="4440" w:type="dxa"/>
            <w:vAlign w:val="bottom"/>
            <w:gridSpan w:val="2"/>
          </w:tcPr>
          <w:p>
            <w:pPr>
              <w:spacing w:after="0"/>
              <w:rPr>
                <w:sz w:val="20"/>
                <w:szCs w:val="20"/>
                <w:color w:val="auto"/>
              </w:rPr>
            </w:pPr>
            <w:r>
              <w:rPr>
                <w:rFonts w:ascii="Arial" w:cs="Arial" w:eastAsia="Arial" w:hAnsi="Arial"/>
                <w:sz w:val="18"/>
                <w:szCs w:val="18"/>
                <w:color w:val="auto"/>
              </w:rPr>
              <w:t>Note 2. Summary of significant accounting policies</w:t>
            </w:r>
          </w:p>
        </w:tc>
        <w:tc>
          <w:tcPr>
            <w:tcW w:w="4340" w:type="dxa"/>
            <w:vAlign w:val="bottom"/>
          </w:tcPr>
          <w:p>
            <w:pPr>
              <w:spacing w:after="0"/>
              <w:rPr>
                <w:sz w:val="20"/>
                <w:szCs w:val="20"/>
                <w:color w:val="auto"/>
              </w:rPr>
            </w:pPr>
          </w:p>
        </w:tc>
        <w:tc>
          <w:tcPr>
            <w:tcW w:w="2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11">
              <w:r>
                <w:rPr>
                  <w:rFonts w:ascii="Arial" w:cs="Arial" w:eastAsia="Arial" w:hAnsi="Arial"/>
                  <w:sz w:val="18"/>
                  <w:szCs w:val="18"/>
                  <w:color w:val="0000EE"/>
                  <w:w w:val="99"/>
                </w:rPr>
                <w:t>11</w:t>
              </w:r>
            </w:hyperlink>
          </w:p>
        </w:tc>
        <w:tc>
          <w:tcPr>
            <w:tcW w:w="100" w:type="dxa"/>
            <w:vAlign w:val="bottom"/>
          </w:tcPr>
          <w:p>
            <w:pPr>
              <w:spacing w:after="0"/>
              <w:rPr>
                <w:sz w:val="20"/>
                <w:szCs w:val="20"/>
                <w:color w:val="auto"/>
              </w:rPr>
            </w:pPr>
          </w:p>
        </w:tc>
      </w:tr>
      <w:tr>
        <w:trPr>
          <w:trHeight w:val="237"/>
        </w:trPr>
        <w:tc>
          <w:tcPr>
            <w:tcW w:w="4440" w:type="dxa"/>
            <w:vAlign w:val="bottom"/>
            <w:gridSpan w:val="2"/>
          </w:tcPr>
          <w:p>
            <w:pPr>
              <w:spacing w:after="0"/>
              <w:rPr>
                <w:sz w:val="20"/>
                <w:szCs w:val="20"/>
                <w:color w:val="auto"/>
              </w:rPr>
            </w:pPr>
            <w:r>
              <w:rPr>
                <w:rFonts w:ascii="Arial" w:cs="Arial" w:eastAsia="Arial" w:hAnsi="Arial"/>
                <w:sz w:val="18"/>
                <w:szCs w:val="18"/>
                <w:color w:val="auto"/>
              </w:rPr>
              <w:t>Note 3. Franchise fees receivable</w:t>
            </w:r>
          </w:p>
        </w:tc>
        <w:tc>
          <w:tcPr>
            <w:tcW w:w="4540" w:type="dxa"/>
            <w:vAlign w:val="bottom"/>
            <w:gridSpan w:val="2"/>
          </w:tcPr>
          <w:p>
            <w:pPr>
              <w:jc w:val="center"/>
              <w:ind w:left="4250"/>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13</w:t>
              </w:r>
            </w:hyperlink>
          </w:p>
        </w:tc>
        <w:tc>
          <w:tcPr>
            <w:tcW w:w="100" w:type="dxa"/>
            <w:vAlign w:val="bottom"/>
          </w:tcPr>
          <w:p>
            <w:pPr>
              <w:spacing w:after="0"/>
              <w:rPr>
                <w:sz w:val="20"/>
                <w:szCs w:val="20"/>
                <w:color w:val="auto"/>
              </w:rPr>
            </w:pPr>
          </w:p>
        </w:tc>
      </w:tr>
      <w:tr>
        <w:trPr>
          <w:trHeight w:val="20"/>
        </w:trPr>
        <w:tc>
          <w:tcPr>
            <w:tcW w:w="44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440" w:type="dxa"/>
            <w:vAlign w:val="bottom"/>
            <w:gridSpan w:val="2"/>
          </w:tcPr>
          <w:p>
            <w:pPr>
              <w:spacing w:after="0"/>
              <w:rPr>
                <w:sz w:val="20"/>
                <w:szCs w:val="20"/>
                <w:color w:val="auto"/>
              </w:rPr>
            </w:pPr>
            <w:r>
              <w:rPr>
                <w:rFonts w:ascii="Arial" w:cs="Arial" w:eastAsia="Arial" w:hAnsi="Arial"/>
                <w:sz w:val="18"/>
                <w:szCs w:val="18"/>
                <w:color w:val="auto"/>
              </w:rPr>
              <w:t>Note 4. Allowance for uncollectible agency fees</w:t>
            </w:r>
          </w:p>
        </w:tc>
        <w:tc>
          <w:tcPr>
            <w:tcW w:w="4540" w:type="dxa"/>
            <w:vAlign w:val="bottom"/>
            <w:gridSpan w:val="2"/>
          </w:tcPr>
          <w:p>
            <w:pPr>
              <w:jc w:val="center"/>
              <w:ind w:left="4250"/>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13</w:t>
              </w:r>
            </w:hyperlink>
          </w:p>
        </w:tc>
        <w:tc>
          <w:tcPr>
            <w:tcW w:w="100" w:type="dxa"/>
            <w:vAlign w:val="bottom"/>
          </w:tcPr>
          <w:p>
            <w:pPr>
              <w:spacing w:after="0"/>
              <w:rPr>
                <w:sz w:val="20"/>
                <w:szCs w:val="20"/>
                <w:color w:val="auto"/>
              </w:rPr>
            </w:pPr>
          </w:p>
        </w:tc>
      </w:tr>
      <w:tr>
        <w:trPr>
          <w:trHeight w:val="20"/>
        </w:trPr>
        <w:tc>
          <w:tcPr>
            <w:tcW w:w="44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440" w:type="dxa"/>
            <w:vAlign w:val="bottom"/>
            <w:gridSpan w:val="2"/>
          </w:tcPr>
          <w:p>
            <w:pPr>
              <w:spacing w:after="0"/>
              <w:rPr>
                <w:sz w:val="20"/>
                <w:szCs w:val="20"/>
                <w:color w:val="auto"/>
              </w:rPr>
            </w:pPr>
            <w:r>
              <w:rPr>
                <w:rFonts w:ascii="Arial" w:cs="Arial" w:eastAsia="Arial" w:hAnsi="Arial"/>
                <w:sz w:val="18"/>
                <w:szCs w:val="18"/>
                <w:color w:val="auto"/>
              </w:rPr>
              <w:t>Note 5. Property and equipment</w:t>
            </w:r>
          </w:p>
        </w:tc>
        <w:tc>
          <w:tcPr>
            <w:tcW w:w="4540" w:type="dxa"/>
            <w:vAlign w:val="bottom"/>
            <w:gridSpan w:val="2"/>
          </w:tcPr>
          <w:p>
            <w:pPr>
              <w:jc w:val="center"/>
              <w:ind w:left="4250"/>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14</w:t>
              </w:r>
            </w:hyperlink>
          </w:p>
        </w:tc>
        <w:tc>
          <w:tcPr>
            <w:tcW w:w="10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r>
              <w:rPr>
                <w:rFonts w:ascii="Arial" w:cs="Arial" w:eastAsia="Arial" w:hAnsi="Arial"/>
                <w:sz w:val="18"/>
                <w:szCs w:val="18"/>
                <w:color w:val="auto"/>
                <w:w w:val="99"/>
              </w:rPr>
              <w:t>Note 6.</w:t>
            </w:r>
          </w:p>
        </w:tc>
        <w:tc>
          <w:tcPr>
            <w:tcW w:w="3840" w:type="dxa"/>
            <w:vAlign w:val="bottom"/>
          </w:tcPr>
          <w:p>
            <w:pPr>
              <w:ind w:left="20"/>
              <w:spacing w:after="0"/>
              <w:rPr>
                <w:sz w:val="20"/>
                <w:szCs w:val="20"/>
                <w:color w:val="auto"/>
              </w:rPr>
            </w:pPr>
            <w:r>
              <w:rPr>
                <w:rFonts w:ascii="Arial" w:cs="Arial" w:eastAsia="Arial" w:hAnsi="Arial"/>
                <w:sz w:val="18"/>
                <w:szCs w:val="18"/>
                <w:color w:val="auto"/>
              </w:rPr>
              <w:t>Note payable</w:t>
            </w:r>
          </w:p>
        </w:tc>
        <w:tc>
          <w:tcPr>
            <w:tcW w:w="4540" w:type="dxa"/>
            <w:vAlign w:val="bottom"/>
            <w:gridSpan w:val="2"/>
          </w:tcPr>
          <w:p>
            <w:pPr>
              <w:jc w:val="center"/>
              <w:ind w:left="4250"/>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14</w:t>
              </w:r>
            </w:hyperlink>
          </w:p>
        </w:tc>
        <w:tc>
          <w:tcPr>
            <w:tcW w:w="10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r>
              <w:rPr>
                <w:rFonts w:ascii="Arial" w:cs="Arial" w:eastAsia="Arial" w:hAnsi="Arial"/>
                <w:sz w:val="18"/>
                <w:szCs w:val="18"/>
                <w:color w:val="auto"/>
                <w:w w:val="99"/>
              </w:rPr>
              <w:t>Note 7.</w:t>
            </w:r>
          </w:p>
        </w:tc>
        <w:tc>
          <w:tcPr>
            <w:tcW w:w="38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4540" w:type="dxa"/>
            <w:vAlign w:val="bottom"/>
            <w:gridSpan w:val="2"/>
          </w:tcPr>
          <w:p>
            <w:pPr>
              <w:jc w:val="center"/>
              <w:ind w:left="4250"/>
              <w:spacing w:after="0"/>
              <w:rPr>
                <w:rFonts w:ascii="Arial" w:cs="Arial" w:eastAsia="Arial" w:hAnsi="Arial"/>
                <w:sz w:val="18"/>
                <w:szCs w:val="18"/>
                <w:color w:val="0000EE"/>
                <w:w w:val="99"/>
              </w:rPr>
            </w:pPr>
            <w:hyperlink w:anchor="page15">
              <w:r>
                <w:rPr>
                  <w:rFonts w:ascii="Arial" w:cs="Arial" w:eastAsia="Arial" w:hAnsi="Arial"/>
                  <w:sz w:val="18"/>
                  <w:szCs w:val="18"/>
                  <w:color w:val="0000EE"/>
                  <w:w w:val="99"/>
                </w:rPr>
                <w:t>15</w:t>
              </w:r>
            </w:hyperlink>
          </w:p>
        </w:tc>
        <w:tc>
          <w:tcPr>
            <w:tcW w:w="10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r>
              <w:rPr>
                <w:rFonts w:ascii="Arial" w:cs="Arial" w:eastAsia="Arial" w:hAnsi="Arial"/>
                <w:sz w:val="18"/>
                <w:szCs w:val="18"/>
                <w:color w:val="auto"/>
                <w:w w:val="99"/>
              </w:rPr>
              <w:t>Note 8.</w:t>
            </w:r>
          </w:p>
        </w:tc>
        <w:tc>
          <w:tcPr>
            <w:tcW w:w="38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4540" w:type="dxa"/>
            <w:vAlign w:val="bottom"/>
            <w:gridSpan w:val="2"/>
          </w:tcPr>
          <w:p>
            <w:pPr>
              <w:jc w:val="center"/>
              <w:ind w:left="4250"/>
              <w:spacing w:after="0"/>
              <w:rPr>
                <w:rFonts w:ascii="Arial" w:cs="Arial" w:eastAsia="Arial" w:hAnsi="Arial"/>
                <w:sz w:val="18"/>
                <w:szCs w:val="18"/>
                <w:color w:val="0000EE"/>
                <w:w w:val="99"/>
              </w:rPr>
            </w:pPr>
            <w:hyperlink w:anchor="page16">
              <w:r>
                <w:rPr>
                  <w:rFonts w:ascii="Arial" w:cs="Arial" w:eastAsia="Arial" w:hAnsi="Arial"/>
                  <w:sz w:val="18"/>
                  <w:szCs w:val="18"/>
                  <w:color w:val="0000EE"/>
                  <w:w w:val="99"/>
                </w:rPr>
                <w:t>16</w:t>
              </w:r>
            </w:hyperlink>
          </w:p>
        </w:tc>
        <w:tc>
          <w:tcPr>
            <w:tcW w:w="10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r>
              <w:rPr>
                <w:rFonts w:ascii="Arial" w:cs="Arial" w:eastAsia="Arial" w:hAnsi="Arial"/>
                <w:sz w:val="18"/>
                <w:szCs w:val="18"/>
                <w:color w:val="auto"/>
                <w:w w:val="99"/>
              </w:rPr>
              <w:t>Note 9.</w:t>
            </w:r>
          </w:p>
        </w:tc>
        <w:tc>
          <w:tcPr>
            <w:tcW w:w="38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4540" w:type="dxa"/>
            <w:vAlign w:val="bottom"/>
            <w:gridSpan w:val="2"/>
          </w:tcPr>
          <w:p>
            <w:pPr>
              <w:jc w:val="center"/>
              <w:ind w:left="4250"/>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17</w:t>
              </w:r>
            </w:hyperlink>
          </w:p>
        </w:tc>
        <w:tc>
          <w:tcPr>
            <w:tcW w:w="100" w:type="dxa"/>
            <w:vAlign w:val="bottom"/>
          </w:tcPr>
          <w:p>
            <w:pPr>
              <w:spacing w:after="0"/>
              <w:rPr>
                <w:sz w:val="20"/>
                <w:szCs w:val="20"/>
                <w:color w:val="auto"/>
              </w:rPr>
            </w:pPr>
          </w:p>
        </w:tc>
      </w:tr>
      <w:tr>
        <w:trPr>
          <w:trHeight w:val="20"/>
        </w:trPr>
        <w:tc>
          <w:tcPr>
            <w:tcW w:w="44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440" w:type="dxa"/>
            <w:vAlign w:val="bottom"/>
            <w:gridSpan w:val="2"/>
          </w:tcPr>
          <w:p>
            <w:pPr>
              <w:spacing w:after="0"/>
              <w:rPr>
                <w:sz w:val="20"/>
                <w:szCs w:val="20"/>
                <w:color w:val="auto"/>
              </w:rPr>
            </w:pPr>
            <w:r>
              <w:rPr>
                <w:rFonts w:ascii="Arial" w:cs="Arial" w:eastAsia="Arial" w:hAnsi="Arial"/>
                <w:sz w:val="18"/>
                <w:szCs w:val="18"/>
                <w:color w:val="auto"/>
              </w:rPr>
              <w:t>Note 10. Equity-based compensation</w:t>
            </w:r>
          </w:p>
        </w:tc>
        <w:tc>
          <w:tcPr>
            <w:tcW w:w="4540" w:type="dxa"/>
            <w:vAlign w:val="bottom"/>
            <w:gridSpan w:val="2"/>
          </w:tcPr>
          <w:p>
            <w:pPr>
              <w:jc w:val="center"/>
              <w:ind w:left="4250"/>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19</w:t>
              </w:r>
            </w:hyperlink>
          </w:p>
        </w:tc>
        <w:tc>
          <w:tcPr>
            <w:tcW w:w="100" w:type="dxa"/>
            <w:vAlign w:val="bottom"/>
          </w:tcPr>
          <w:p>
            <w:pPr>
              <w:spacing w:after="0"/>
              <w:rPr>
                <w:sz w:val="20"/>
                <w:szCs w:val="20"/>
                <w:color w:val="auto"/>
              </w:rPr>
            </w:pPr>
          </w:p>
        </w:tc>
      </w:tr>
      <w:tr>
        <w:trPr>
          <w:trHeight w:val="20"/>
        </w:trPr>
        <w:tc>
          <w:tcPr>
            <w:tcW w:w="44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440" w:type="dxa"/>
            <w:vAlign w:val="bottom"/>
            <w:gridSpan w:val="2"/>
          </w:tcPr>
          <w:p>
            <w:pPr>
              <w:spacing w:after="0"/>
              <w:rPr>
                <w:sz w:val="20"/>
                <w:szCs w:val="20"/>
                <w:color w:val="auto"/>
              </w:rPr>
            </w:pPr>
            <w:r>
              <w:rPr>
                <w:rFonts w:ascii="Arial" w:cs="Arial" w:eastAsia="Arial" w:hAnsi="Arial"/>
                <w:sz w:val="18"/>
                <w:szCs w:val="18"/>
                <w:color w:val="auto"/>
              </w:rPr>
              <w:t>Note 11. Dividends</w:t>
            </w:r>
          </w:p>
        </w:tc>
        <w:tc>
          <w:tcPr>
            <w:tcW w:w="4540" w:type="dxa"/>
            <w:vAlign w:val="bottom"/>
            <w:gridSpan w:val="2"/>
          </w:tcPr>
          <w:p>
            <w:pPr>
              <w:jc w:val="center"/>
              <w:ind w:left="4250"/>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20</w:t>
              </w:r>
            </w:hyperlink>
          </w:p>
        </w:tc>
        <w:tc>
          <w:tcPr>
            <w:tcW w:w="100" w:type="dxa"/>
            <w:vAlign w:val="bottom"/>
          </w:tcPr>
          <w:p>
            <w:pPr>
              <w:spacing w:after="0"/>
              <w:rPr>
                <w:sz w:val="20"/>
                <w:szCs w:val="20"/>
                <w:color w:val="auto"/>
              </w:rPr>
            </w:pPr>
          </w:p>
        </w:tc>
      </w:tr>
      <w:tr>
        <w:trPr>
          <w:trHeight w:val="20"/>
        </w:trPr>
        <w:tc>
          <w:tcPr>
            <w:tcW w:w="44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440" w:type="dxa"/>
            <w:vAlign w:val="bottom"/>
            <w:gridSpan w:val="2"/>
          </w:tcPr>
          <w:p>
            <w:pPr>
              <w:spacing w:after="0"/>
              <w:rPr>
                <w:sz w:val="20"/>
                <w:szCs w:val="20"/>
                <w:color w:val="auto"/>
              </w:rPr>
            </w:pPr>
            <w:r>
              <w:rPr>
                <w:rFonts w:ascii="Arial" w:cs="Arial" w:eastAsia="Arial" w:hAnsi="Arial"/>
                <w:sz w:val="18"/>
                <w:szCs w:val="18"/>
                <w:color w:val="auto"/>
              </w:rPr>
              <w:t>Note 12. Segment information</w:t>
            </w:r>
          </w:p>
        </w:tc>
        <w:tc>
          <w:tcPr>
            <w:tcW w:w="4540" w:type="dxa"/>
            <w:vAlign w:val="bottom"/>
            <w:gridSpan w:val="2"/>
          </w:tcPr>
          <w:p>
            <w:pPr>
              <w:jc w:val="center"/>
              <w:ind w:left="4250"/>
              <w:spacing w:after="0"/>
              <w:rPr>
                <w:rFonts w:ascii="Arial" w:cs="Arial" w:eastAsia="Arial" w:hAnsi="Arial"/>
                <w:sz w:val="18"/>
                <w:szCs w:val="18"/>
                <w:color w:val="0000EE"/>
                <w:w w:val="99"/>
              </w:rPr>
            </w:pPr>
            <w:hyperlink w:anchor="page20">
              <w:r>
                <w:rPr>
                  <w:rFonts w:ascii="Arial" w:cs="Arial" w:eastAsia="Arial" w:hAnsi="Arial"/>
                  <w:sz w:val="18"/>
                  <w:szCs w:val="18"/>
                  <w:color w:val="0000EE"/>
                  <w:w w:val="99"/>
                </w:rPr>
                <w:t>20</w:t>
              </w:r>
            </w:hyperlink>
          </w:p>
        </w:tc>
        <w:tc>
          <w:tcPr>
            <w:tcW w:w="100" w:type="dxa"/>
            <w:vAlign w:val="bottom"/>
          </w:tcPr>
          <w:p>
            <w:pPr>
              <w:spacing w:after="0"/>
              <w:rPr>
                <w:sz w:val="20"/>
                <w:szCs w:val="20"/>
                <w:color w:val="auto"/>
              </w:rPr>
            </w:pPr>
          </w:p>
        </w:tc>
      </w:tr>
      <w:tr>
        <w:trPr>
          <w:trHeight w:val="20"/>
        </w:trPr>
        <w:tc>
          <w:tcPr>
            <w:tcW w:w="444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440" w:type="dxa"/>
            <w:vAlign w:val="bottom"/>
            <w:gridSpan w:val="2"/>
          </w:tcPr>
          <w:p>
            <w:pPr>
              <w:spacing w:after="0"/>
              <w:rPr>
                <w:sz w:val="20"/>
                <w:szCs w:val="20"/>
                <w:color w:val="auto"/>
              </w:rPr>
            </w:pPr>
            <w:r>
              <w:rPr>
                <w:rFonts w:ascii="Arial" w:cs="Arial" w:eastAsia="Arial" w:hAnsi="Arial"/>
                <w:sz w:val="18"/>
                <w:szCs w:val="18"/>
                <w:color w:val="auto"/>
              </w:rPr>
              <w:t>Note 13. Litigation</w:t>
            </w:r>
          </w:p>
        </w:tc>
        <w:tc>
          <w:tcPr>
            <w:tcW w:w="4540" w:type="dxa"/>
            <w:vAlign w:val="bottom"/>
            <w:gridSpan w:val="2"/>
          </w:tcPr>
          <w:p>
            <w:pPr>
              <w:jc w:val="center"/>
              <w:ind w:left="4250"/>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22</w:t>
              </w:r>
            </w:hyperlink>
          </w:p>
        </w:tc>
        <w:tc>
          <w:tcPr>
            <w:tcW w:w="100" w:type="dxa"/>
            <w:vAlign w:val="bottom"/>
          </w:tcPr>
          <w:p>
            <w:pPr>
              <w:spacing w:after="0"/>
              <w:rPr>
                <w:sz w:val="20"/>
                <w:szCs w:val="20"/>
                <w:color w:val="auto"/>
              </w:rPr>
            </w:pPr>
          </w:p>
        </w:tc>
      </w:tr>
      <w:tr>
        <w:trPr>
          <w:trHeight w:val="524"/>
        </w:trPr>
        <w:tc>
          <w:tcPr>
            <w:tcW w:w="6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340" w:type="dxa"/>
            <w:vAlign w:val="bottom"/>
          </w:tcPr>
          <w:p>
            <w:pPr>
              <w:jc w:val="right"/>
              <w:ind w:right="3610"/>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179"/>
          </w:cols>
          <w:pgMar w:left="280" w:top="267" w:right="1440" w:bottom="1440" w:gutter="0" w:footer="0" w:header="0"/>
        </w:sectPr>
      </w:pPr>
    </w:p>
    <w:bookmarkStart w:id="10" w:name="page11"/>
    <w:bookmarkEnd w:id="10"/>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71" w:lineRule="exact"/>
        <w:rPr>
          <w:sz w:val="20"/>
          <w:szCs w:val="20"/>
          <w:color w:val="auto"/>
        </w:rPr>
      </w:pPr>
    </w:p>
    <w:p>
      <w:pPr>
        <w:ind w:left="40" w:right="4220"/>
        <w:spacing w:after="0" w:line="301"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Organization</w:t>
      </w:r>
    </w:p>
    <w:p>
      <w:pPr>
        <w:spacing w:after="0" w:line="11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On May 1, 2018 Goosehead Insurance, Inc. ("GSHD") completed an initial public offering (the “Offering”) of 9,810 thousand shares of Class A common stock at a price of $10.00 per share, which included 1,280 thousand shares issued pursuant to the underwriter's over-allotment option. Following completion of the Offering, GSHD owned 37.3% of Goosehead Financial, LLC (“GF”) and the Pre-IPO LLC Members owned the remaining 62.7%. GSHD is the sole managing member of GF and, although GSHD holds a minority economic interest in GF, GSHD has the sole voting power and control of management of GF. Accordingly, GSHD consolidates the financial results of GF and reports non-controlling interest in GSHD's consolidated financial statements.</w:t>
      </w:r>
    </w:p>
    <w:p>
      <w:pPr>
        <w:spacing w:after="0" w:line="6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GF was organized on January 1, 2016 as a Delaware Limited Liability Company and is headquartered in Westlake, TX. The operations of GF represent the predecessor to GSHD prior to the Offering. Operations for any periods prior to May 1, 2018 are the condensed, consolidated and combined operations of GF and its subsidiaries and affiliates.</w:t>
      </w:r>
    </w:p>
    <w:p>
      <w:pPr>
        <w:spacing w:after="0" w:line="55"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GSHD (collectively with its consolidated subsidiaries, the “Company”) provides personal and commercial property and casualty insurance brokerage services for its clients through a network of corporate-owned agencies and franchise units across the nation.</w:t>
      </w:r>
    </w:p>
    <w:p>
      <w:pPr>
        <w:spacing w:after="0" w:line="3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The Company had seven corporate-owned locations in operation at March 31, 2019 and 2018. Franchisees are provided access to insurance Carrier Appointments, product training, technology infrastructure, client service centers and back office services. During the three months ended March 31, 2019 and 2018, the Company sold 63 and 58 franchise locations, respectively and had 501 and 341 operating franchise locations as of March 31, 2019 and 2018, respectively. No franchises were purchased by the Company during the three months ended March 31, 2019 or 2018.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accounts and transactions have been eliminated in consolidation.</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accompanying condensed consolidated financial statements of the Company have been prepared in accordance with the instructions to Form 10-Q. Therefore, they do not include all of the annual disclosures required by accounting principles generally accepted in the United States of America ("GAAP"). However, in the opinion of management, these statements include all adjustments, consisting of normal recurring adjustments, which are necessary for a fair presentation of the condensed consolidated financial position at March 31, 2019, and the condensed consolidated results of operations, and cash flows for the three months ended March 31, 2019 and 2018. The interim period condensed consolidated financial statements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that are included in the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liabilities at the date of the financial statements, and the reported amounts of revenues and expenses during the reported period. Accordingly, actual results could differ from those estimates as more information becomes known.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Prior to the Offering, GF was treated as a partnership for U.S. federal and applicable state and local income tax purposes. As a partnership, GF's taxable income or loss was included in the taxable income of its members. Accordingly, no income tax expense was recorded for federal and state and local jurisdictions for periods prior to the Offering.</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Offering completed on May 1, 2018, the Company became a taxable entity.</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67" w:right="259" w:bottom="1440" w:gutter="0" w:footer="0" w:header="0"/>
        </w:sectPr>
      </w:pPr>
    </w:p>
    <w:bookmarkStart w:id="11" w:name="page12"/>
    <w:bookmarkEnd w:id="11"/>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71" w:lineRule="exact"/>
        <w:rPr>
          <w:sz w:val="20"/>
          <w:szCs w:val="20"/>
          <w:color w:val="auto"/>
        </w:rPr>
      </w:pPr>
    </w:p>
    <w:p>
      <w:pPr>
        <w:ind w:left="40" w:right="4200"/>
        <w:spacing w:after="0" w:line="301"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56"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rates applicable to the periods in which the temporary differences are expected to reverse. Any effects of changes in income tax rates or laws are included in income tax expense in the period of enactment.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The Company holds premiums received from the insured, but not yet remitted to the insurance carrier in a fiduciary capacity. Premiums received but not yet remitted included in restricted cash were $352 thousand and $610 thousand as of March 31, 2019 and 2018, respectively.</w:t>
      </w:r>
    </w:p>
    <w:p>
      <w:pPr>
        <w:spacing w:after="0" w:line="37"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The following is a reconciliation of our cash and restricted cash balances as presented in the condensed consolidated statement of cash flows for the three months ended March 31, 2019 and 2018 (in thousands):</w:t>
      </w:r>
    </w:p>
    <w:p>
      <w:pPr>
        <w:spacing w:after="0" w:line="210" w:lineRule="exact"/>
        <w:rPr>
          <w:sz w:val="20"/>
          <w:szCs w:val="20"/>
          <w:color w:val="auto"/>
        </w:rPr>
      </w:pPr>
    </w:p>
    <w:tbl>
      <w:tblPr>
        <w:tblLayout w:type="fixed"/>
        <w:tblInd w:w="1000" w:type="dxa"/>
        <w:tblCellMar>
          <w:top w:w="0" w:type="dxa"/>
          <w:left w:w="0" w:type="dxa"/>
          <w:bottom w:w="0" w:type="dxa"/>
          <w:right w:w="0" w:type="dxa"/>
        </w:tblCellMar>
      </w:tblPr>
      <w:tr>
        <w:trPr>
          <w:trHeight w:val="254"/>
        </w:trPr>
        <w:tc>
          <w:tcPr>
            <w:tcW w:w="550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March 31</w:t>
            </w:r>
          </w:p>
        </w:tc>
        <w:tc>
          <w:tcPr>
            <w:tcW w:w="1360" w:type="dxa"/>
            <w:vAlign w:val="bottom"/>
            <w:tcBorders>
              <w:bottom w:val="single" w:sz="8" w:color="auto"/>
            </w:tcBorders>
          </w:tcPr>
          <w:p>
            <w:pPr>
              <w:spacing w:after="0"/>
              <w:rPr>
                <w:sz w:val="22"/>
                <w:szCs w:val="22"/>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r>
      <w:tr>
        <w:trPr>
          <w:trHeight w:val="251"/>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2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18,417</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6,332</w:t>
            </w:r>
          </w:p>
        </w:tc>
      </w:tr>
      <w:tr>
        <w:trPr>
          <w:trHeight w:val="265"/>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1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610</w:t>
            </w:r>
          </w:p>
        </w:tc>
      </w:tr>
      <w:tr>
        <w:trPr>
          <w:trHeight w:val="25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18,769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6,942</w:t>
            </w:r>
          </w:p>
        </w:tc>
      </w:tr>
      <w:tr>
        <w:trPr>
          <w:trHeight w:val="20"/>
        </w:trPr>
        <w:tc>
          <w:tcPr>
            <w:tcW w:w="55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Statement of Cash Flows (ASU 2016-18)</w:t>
      </w:r>
      <w:r>
        <w:rPr>
          <w:rFonts w:ascii="Arial" w:cs="Arial" w:eastAsia="Arial" w:hAnsi="Arial"/>
          <w:sz w:val="18"/>
          <w:szCs w:val="18"/>
          <w:color w:val="auto"/>
        </w:rPr>
        <w:t>: This standard requires that the Statement of Cash Flows explain the changes during the period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inclusive of amounts categorized as Restricted Cash. As such, the Company’s condensed consolidated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cash flows shows the sources and uses of cash that explain the movement in the balance of cash and cash equivalents, inclusive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over the period presented. As an emerging growth company (“EGC”), the standard became effective for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 2019. The standard did not have a material impact on the Statement of Cash Flows. As shown in the reconciliation above, restricted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of $610 thousand, which was previously shown as an investing activity has been reclassified and is now included together with cash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to conform to the current period presentation in the condensed consolidated statement of cash flows as a result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adoption of ASU 2016-18.</w:t>
      </w:r>
    </w:p>
    <w:p>
      <w:pPr>
        <w:spacing w:after="0" w:line="9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u w:val="single" w:color="auto"/>
          <w:color w:val="auto"/>
        </w:rPr>
        <w:t>Statement of Cash Flows (ASU 2016-15)</w:t>
      </w:r>
      <w:r>
        <w:rPr>
          <w:rFonts w:ascii="Arial" w:cs="Arial" w:eastAsia="Arial" w:hAnsi="Arial"/>
          <w:sz w:val="18"/>
          <w:szCs w:val="18"/>
          <w:color w:val="auto"/>
        </w:rPr>
        <w:t>: This standard addresses eight specific cash flow issues with the objective of reducing the existing diversity in practice in how certain cash receipts and cash payments are presented and classified and applies to all entities, including both business entities and not-for-profit entities that are required to present a statement of cash flows under Topic 230. The standard became effective for the Company on January 1, 2019. The Company has evaluated the impact of ASU 2016-15 and has determined the impact to be immaterial. The Company does not, at this time, engage in the activities being addressed by the standard.</w:t>
      </w:r>
    </w:p>
    <w:p>
      <w:pPr>
        <w:spacing w:after="0" w:line="67"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Revenue from Contracts with Customers (ASU 2014-09)</w:t>
      </w:r>
      <w:r>
        <w:rPr>
          <w:rFonts w:ascii="Arial" w:cs="Arial" w:eastAsia="Arial" w:hAnsi="Arial"/>
          <w:sz w:val="18"/>
          <w:szCs w:val="18"/>
          <w:color w:val="auto"/>
        </w:rPr>
        <w:t>: This standard supersedes the existing revenue recognition guidance and provides a new framework for recognizing revenue. The core principle of the standard is that an entity should recognize revenue to depict the transfer of promised goods or services to customers in an amount that reflects the consideration to which the entity expects to be entitled in exchange for those goods and services. The new standard also requires significantly more comprehensive disclosures than the existing standard. Guidance subsequent to ASU 2014-09 has been issued to clarify various provisions in the standard, including principal versus agent considerations, identifying performance obligations, licensing transactions, as well as various technical corrections and improvements. This standard may be adopted using either a retrospective or modified retrospective method. According to the superseding standard ASU 2015-14 that deferred the effective dates of the preceding, and because the Company is filing as an emerging growth company, the standard will become effective for the Company January 1, 2019, but the Company is not required to present the impacts of the standard until it files its annual report on Form 10-K for the fiscal year ended December 31, 2019. The Company is continuing to evaluate the impact this standard is expected to have on the consolidated financial statements and expects to adopt the modified retrospective method. The primary anticipated impacts of the new standard to the Company's revenues and expenses are as follows:</w:t>
      </w:r>
    </w:p>
    <w:p>
      <w:pPr>
        <w:spacing w:after="0" w:line="72"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Under the new guidance, the Company expects commission revenues will be recognized at the effective date of the policy, which will accelerate some revenues. Currently, commissions from insurance carriers, net of estimated cancellations, are recognized as revenue when the data necessary to reasonably determine such amounts is made</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67" w:right="279" w:bottom="1440" w:gutter="0" w:footer="0" w:header="0"/>
        </w:sectPr>
      </w:pPr>
    </w:p>
    <w:bookmarkStart w:id="12" w:name="page13"/>
    <w:bookmarkEnd w:id="12"/>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71" w:lineRule="exact"/>
        <w:rPr>
          <w:sz w:val="20"/>
          <w:szCs w:val="20"/>
          <w:color w:val="auto"/>
        </w:rPr>
      </w:pPr>
    </w:p>
    <w:p>
      <w:pPr>
        <w:ind w:left="40" w:right="4220"/>
        <w:spacing w:after="0" w:line="301"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available to the Company. For contingent commissions, the Company anticipates revenues will be estimated and recorded throughout the year as the underlying business is placed with the insurance carriers as opposed to the Company's historical recognition when the Company received cash, the related policy detail, or other carrier specific information from the insurance carrier, typically in the first quarter of the following year. The effect of this change will result in revenue being recognized more evenly throughout the year.</w:t>
      </w:r>
    </w:p>
    <w:p>
      <w:pPr>
        <w:spacing w:after="0" w:line="62"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Franchise revenues, including franchise fees, are also likely to change under the new guidance. Currently, initial franchise fees are recognized as revenue in the month the agency owner or initial agency representative attends training. Under the new guidance, the Company anticipates these revenues will likely be recognized over the contract term, typically 10 years.</w:t>
      </w:r>
    </w:p>
    <w:p>
      <w:pPr>
        <w:spacing w:after="0" w:line="55"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 Company also expects to recognize an asset for the costs to obtain and/or fulfill a contract and to amortize on a systematic basis that is consistent with the transfer of services to which asset relates.</w:t>
      </w:r>
    </w:p>
    <w:p>
      <w:pPr>
        <w:spacing w:after="0" w:line="3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u w:val="single" w:color="auto"/>
          <w:color w:val="auto"/>
        </w:rPr>
        <w:t>Leases (ASU 2016-02)</w:t>
      </w:r>
      <w:r>
        <w:rPr>
          <w:rFonts w:ascii="Arial" w:cs="Arial" w:eastAsia="Arial" w:hAnsi="Arial"/>
          <w:sz w:val="18"/>
          <w:szCs w:val="18"/>
          <w:color w:val="auto"/>
        </w:rPr>
        <w:t>: This standard establishes a new lease accounting model, which introduces the recognition of lease assets and liabilities for those leases classified as operating leases under previous GAAP. It should be applied using a modified retrospective approach, with the option to elect various practical expedients. Early adoption is permitted. The standard will become effective for the Company January 1, 2020. The Company is currently evaluating the impact this standard will have on the Company's consolidated financial statements. However, the Company expects the impact of this guidance on its consolidated financial statements could be significant, as its future minimum operating lease commitments totaled $23.6 million as of March 31, 2019.</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Franchise Fees Receivable</w:t>
      </w:r>
    </w:p>
    <w:p>
      <w:pPr>
        <w:spacing w:after="0" w:line="112"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 xml:space="preserve">The balance of Franchise fees receivable included in Receivable from franchisees consisted of the following at March 31, 2019 and December 31,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43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8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1"/>
        </w:trPr>
        <w:tc>
          <w:tcPr>
            <w:tcW w:w="75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51"/>
        </w:trPr>
        <w:tc>
          <w:tcPr>
            <w:tcW w:w="7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Franchise fees receivable</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3,906</w:t>
            </w:r>
          </w:p>
        </w:tc>
        <w:tc>
          <w:tcPr>
            <w:tcW w:w="0" w:type="dxa"/>
            <w:vAlign w:val="bottom"/>
          </w:tcPr>
          <w:p>
            <w:pPr>
              <w:spacing w:after="0"/>
              <w:rPr>
                <w:sz w:val="1"/>
                <w:szCs w:val="1"/>
                <w:color w:val="auto"/>
              </w:rPr>
            </w:pPr>
          </w:p>
        </w:tc>
      </w:tr>
      <w:tr>
        <w:trPr>
          <w:trHeight w:val="265"/>
        </w:trPr>
        <w:tc>
          <w:tcPr>
            <w:tcW w:w="7500" w:type="dxa"/>
            <w:vAlign w:val="bottom"/>
          </w:tcPr>
          <w:p>
            <w:pPr>
              <w:ind w:left="40"/>
              <w:spacing w:after="0"/>
              <w:rPr>
                <w:sz w:val="20"/>
                <w:szCs w:val="20"/>
                <w:color w:val="auto"/>
              </w:rPr>
            </w:pPr>
            <w:r>
              <w:rPr>
                <w:rFonts w:ascii="Arial" w:cs="Arial" w:eastAsia="Arial" w:hAnsi="Arial"/>
                <w:sz w:val="18"/>
                <w:szCs w:val="18"/>
                <w:color w:val="auto"/>
              </w:rPr>
              <w:t>Less: Unamortized discount</w:t>
            </w:r>
          </w:p>
        </w:tc>
        <w:tc>
          <w:tcPr>
            <w:tcW w:w="3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75"/>
        </w:trPr>
        <w:tc>
          <w:tcPr>
            <w:tcW w:w="7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Allowance for uncollectible franchise fees</w:t>
            </w:r>
          </w:p>
        </w:tc>
        <w:tc>
          <w:tcPr>
            <w:tcW w:w="3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4"/>
        </w:trPr>
        <w:tc>
          <w:tcPr>
            <w:tcW w:w="7500" w:type="dxa"/>
            <w:vAlign w:val="bottom"/>
          </w:tcPr>
          <w:p>
            <w:pPr>
              <w:ind w:left="40"/>
              <w:spacing w:after="0"/>
              <w:rPr>
                <w:sz w:val="20"/>
                <w:szCs w:val="20"/>
                <w:color w:val="auto"/>
              </w:rPr>
            </w:pPr>
            <w:r>
              <w:rPr>
                <w:rFonts w:ascii="Arial" w:cs="Arial" w:eastAsia="Arial" w:hAnsi="Arial"/>
                <w:sz w:val="18"/>
                <w:szCs w:val="18"/>
                <w:color w:val="auto"/>
              </w:rPr>
              <w:t>Total franchise fees receivable</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2,250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rPr>
              <w:t xml:space="preserve">Activity in the allowance for uncollectible franchise fees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7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750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61"/>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Charges to bad debts</w:t>
            </w: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2"/>
        </w:trPr>
        <w:tc>
          <w:tcPr>
            <w:tcW w:w="7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Write offs</w:t>
            </w:r>
          </w:p>
        </w:tc>
        <w:tc>
          <w:tcPr>
            <w:tcW w:w="34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50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61"/>
        </w:trPr>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Charges to bad debts</w:t>
            </w: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52"/>
        </w:trPr>
        <w:tc>
          <w:tcPr>
            <w:tcW w:w="7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Write offs</w:t>
            </w:r>
          </w:p>
        </w:tc>
        <w:tc>
          <w:tcPr>
            <w:tcW w:w="34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55"/>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3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Allowance for Uncollectible Agency Fees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67" w:right="259" w:bottom="1440" w:gutter="0" w:footer="0" w:header="0"/>
        </w:sectPr>
      </w:pPr>
    </w:p>
    <w:bookmarkStart w:id="13" w:name="page14"/>
    <w:bookmarkEnd w:id="13"/>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71" w:lineRule="exact"/>
        <w:rPr>
          <w:sz w:val="20"/>
          <w:szCs w:val="20"/>
          <w:color w:val="auto"/>
        </w:rPr>
      </w:pPr>
    </w:p>
    <w:p>
      <w:pPr>
        <w:ind w:left="40" w:right="4220"/>
        <w:spacing w:after="0" w:line="301"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340" w:type="dxa"/>
            <w:vAlign w:val="bottom"/>
          </w:tcPr>
          <w:p>
            <w:pPr>
              <w:spacing w:after="0"/>
              <w:rPr>
                <w:sz w:val="20"/>
                <w:szCs w:val="20"/>
                <w:color w:val="auto"/>
              </w:rPr>
            </w:pPr>
            <w:r>
              <w:rPr>
                <w:rFonts w:ascii="Arial" w:cs="Arial" w:eastAsia="Arial" w:hAnsi="Arial"/>
                <w:sz w:val="18"/>
                <w:szCs w:val="18"/>
                <w:color w:val="auto"/>
              </w:rPr>
              <w:t xml:space="preserve">Activity in the allowance for uncollectible agency fees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58"/>
        </w:trPr>
        <w:tc>
          <w:tcPr>
            <w:tcW w:w="934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183</w:t>
            </w:r>
          </w:p>
        </w:tc>
      </w:tr>
      <w:tr>
        <w:trPr>
          <w:trHeight w:val="261"/>
        </w:trPr>
        <w:tc>
          <w:tcPr>
            <w:tcW w:w="9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Charges to bad debts</w:t>
            </w:r>
          </w:p>
        </w:tc>
        <w:tc>
          <w:tcPr>
            <w:tcW w:w="8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r>
      <w:tr>
        <w:trPr>
          <w:trHeight w:val="252"/>
        </w:trPr>
        <w:tc>
          <w:tcPr>
            <w:tcW w:w="9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Write offs</w:t>
            </w:r>
          </w:p>
        </w:tc>
        <w:tc>
          <w:tcPr>
            <w:tcW w:w="8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2018</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r>
      <w:tr>
        <w:trPr>
          <w:trHeight w:val="20"/>
        </w:trPr>
        <w:tc>
          <w:tcPr>
            <w:tcW w:w="9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07"/>
        </w:trPr>
        <w:tc>
          <w:tcPr>
            <w:tcW w:w="934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242</w:t>
            </w:r>
          </w:p>
        </w:tc>
      </w:tr>
      <w:tr>
        <w:trPr>
          <w:trHeight w:val="261"/>
        </w:trPr>
        <w:tc>
          <w:tcPr>
            <w:tcW w:w="9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Charges to bad debts</w:t>
            </w:r>
          </w:p>
        </w:tc>
        <w:tc>
          <w:tcPr>
            <w:tcW w:w="8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w:t>
            </w:r>
          </w:p>
        </w:tc>
      </w:tr>
      <w:tr>
        <w:trPr>
          <w:trHeight w:val="252"/>
        </w:trPr>
        <w:tc>
          <w:tcPr>
            <w:tcW w:w="93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Write offs</w:t>
            </w:r>
          </w:p>
        </w:tc>
        <w:tc>
          <w:tcPr>
            <w:tcW w:w="8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2019</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r>
      <w:tr>
        <w:trPr>
          <w:trHeight w:val="20"/>
        </w:trPr>
        <w:tc>
          <w:tcPr>
            <w:tcW w:w="9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Property and equipment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at:</w:t>
      </w:r>
    </w:p>
    <w:p>
      <w:pPr>
        <w:spacing w:after="0" w:line="291" w:lineRule="exact"/>
        <w:rPr>
          <w:sz w:val="20"/>
          <w:szCs w:val="20"/>
          <w:color w:val="auto"/>
        </w:rPr>
      </w:pPr>
    </w:p>
    <w:tbl>
      <w:tblPr>
        <w:tblLayout w:type="fixed"/>
        <w:tblInd w:w="1360" w:type="dxa"/>
        <w:tblCellMar>
          <w:top w:w="0" w:type="dxa"/>
          <w:left w:w="0" w:type="dxa"/>
          <w:bottom w:w="0" w:type="dxa"/>
          <w:right w:w="0" w:type="dxa"/>
        </w:tblCellMar>
      </w:tblPr>
      <w:tr>
        <w:trPr>
          <w:trHeight w:val="253"/>
        </w:trPr>
        <w:tc>
          <w:tcPr>
            <w:tcW w:w="5140" w:type="dxa"/>
            <w:vAlign w:val="bottom"/>
          </w:tcPr>
          <w:p>
            <w:pPr>
              <w:spacing w:after="0"/>
              <w:rPr>
                <w:sz w:val="21"/>
                <w:szCs w:val="21"/>
                <w:color w:val="auto"/>
              </w:rPr>
            </w:pPr>
          </w:p>
        </w:tc>
        <w:tc>
          <w:tcPr>
            <w:tcW w:w="1900" w:type="dxa"/>
            <w:vAlign w:val="bottom"/>
            <w:gridSpan w:val="2"/>
          </w:tcPr>
          <w:p>
            <w:pPr>
              <w:ind w:left="780"/>
              <w:spacing w:after="0"/>
              <w:rPr>
                <w:sz w:val="20"/>
                <w:szCs w:val="20"/>
                <w:color w:val="auto"/>
              </w:rPr>
            </w:pPr>
            <w:r>
              <w:rPr>
                <w:rFonts w:ascii="Arial" w:cs="Arial" w:eastAsia="Arial" w:hAnsi="Arial"/>
                <w:sz w:val="18"/>
                <w:szCs w:val="18"/>
                <w:b w:val="1"/>
                <w:bCs w:val="1"/>
                <w:color w:val="auto"/>
              </w:rPr>
              <w:t>March 31</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71"/>
        </w:trPr>
        <w:tc>
          <w:tcPr>
            <w:tcW w:w="5140" w:type="dxa"/>
            <w:vAlign w:val="bottom"/>
            <w:tcBorders>
              <w:bottom w:val="single" w:sz="8" w:color="CCEEFF"/>
            </w:tcBorders>
          </w:tcPr>
          <w:p>
            <w:pPr>
              <w:spacing w:after="0"/>
              <w:rPr>
                <w:sz w:val="23"/>
                <w:szCs w:val="23"/>
                <w:color w:val="auto"/>
              </w:rPr>
            </w:pP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CEEFF"/>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r>
      <w:tr>
        <w:trPr>
          <w:trHeight w:val="251"/>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&amp; fixtures</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2,517</w:t>
            </w:r>
          </w:p>
        </w:tc>
        <w:tc>
          <w:tcPr>
            <w:tcW w:w="24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r>
      <w:tr>
        <w:trPr>
          <w:trHeight w:val="265"/>
        </w:trPr>
        <w:tc>
          <w:tcPr>
            <w:tcW w:w="514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1,056</w:t>
            </w:r>
          </w:p>
        </w:tc>
        <w:tc>
          <w:tcPr>
            <w:tcW w:w="2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75"/>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Network equipment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65"/>
        </w:trPr>
        <w:tc>
          <w:tcPr>
            <w:tcW w:w="5140" w:type="dxa"/>
            <w:vAlign w:val="bottom"/>
          </w:tcPr>
          <w:p>
            <w:pPr>
              <w:ind w:left="20"/>
              <w:spacing w:after="0"/>
              <w:rPr>
                <w:sz w:val="20"/>
                <w:szCs w:val="20"/>
                <w:color w:val="auto"/>
              </w:rPr>
            </w:pPr>
            <w:r>
              <w:rPr>
                <w:rFonts w:ascii="Arial" w:cs="Arial" w:eastAsia="Arial" w:hAnsi="Arial"/>
                <w:sz w:val="18"/>
                <w:szCs w:val="18"/>
                <w:color w:val="auto"/>
              </w:rPr>
              <w:t>Phone system</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831</w:t>
            </w:r>
          </w:p>
        </w:tc>
        <w:tc>
          <w:tcPr>
            <w:tcW w:w="24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7,615</w:t>
            </w:r>
          </w:p>
        </w:tc>
        <w:tc>
          <w:tcPr>
            <w:tcW w:w="2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6,692</w:t>
            </w:r>
          </w:p>
        </w:tc>
      </w:tr>
      <w:tr>
        <w:trPr>
          <w:trHeight w:val="264"/>
        </w:trPr>
        <w:tc>
          <w:tcPr>
            <w:tcW w:w="514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12,271</w:t>
            </w:r>
          </w:p>
        </w:tc>
        <w:tc>
          <w:tcPr>
            <w:tcW w:w="2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11,024</w:t>
            </w: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2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r>
      <w:tr>
        <w:trPr>
          <w:trHeight w:val="268"/>
        </w:trPr>
        <w:tc>
          <w:tcPr>
            <w:tcW w:w="51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8,435</w:t>
            </w:r>
          </w:p>
        </w:tc>
        <w:tc>
          <w:tcPr>
            <w:tcW w:w="2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7,575</w:t>
            </w:r>
          </w:p>
        </w:tc>
      </w:tr>
      <w:tr>
        <w:trPr>
          <w:trHeight w:val="20"/>
        </w:trPr>
        <w:tc>
          <w:tcPr>
            <w:tcW w:w="51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Note Payable</w:t>
      </w:r>
    </w:p>
    <w:p>
      <w:pPr>
        <w:spacing w:after="0" w:line="11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August 3, 2018, the Company refinanced its $3.0 million revolving credit facility and $50.0 million term note payable to a $13.0 million revolving credit facility and $40.0 million term note payable in order to obtain a more favorable interest rate on the outstanding debt. The Company has the right, subject to approval by the administrative agent and each issuing bank, to increase the commitments under the credit facilities an additional $50.0 million.</w:t>
      </w:r>
    </w:p>
    <w:p>
      <w:pPr>
        <w:spacing w:after="0" w:line="6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$13.0 million revolving credit facility accrues interest on amounts drawn at an initial interest rate of LIBOR plus 2.50%, then at an interest rate determined by the Company's leverage ratio for the preceding period. As of March 31, 2019, the Company was in the greater than 2.50x leverage ratio tranche, accruing interest of LIBOR plus 2.25%. At March 31, 2019, the Company had $ 10.0 million drawn against the revolver. At March 31, 2019, the Company had a letter of credit of $417 thousand applied against the maximum borrowing availability, thus amounts available to draw totaled $2.6 million. The revolving credit facility is collateralized by substantially all the Company’s assets, which includes rights to future commissions. Interest paid on the revolving credit facility totaled $122 thousand for the three months ended March 31, 2019.</w:t>
      </w:r>
    </w:p>
    <w:p>
      <w:pPr>
        <w:spacing w:after="0" w:line="5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$40.0 million term note accrues interest at an initial interest rate of LIBOR plus 2.5%, then at an interest rate determined by the Company's leverage ratio for the preceding period. As of March 31, 2019, the Company was in the greater than 2.50x leverage ratio tranche, accruing interest of LIBOR plus 2.25%. The aggregate principal amount of the term note as of March 31, 2019 is $ 38.5 million, payable in quarterly installments of (x) $500,000 through the fiscal quarter ending June 30, 2019, (y) $750,000 from the fiscal quarter ending September 30, 2019 through the fiscal quarter ending June 30, 2020, and (z) $1,250,000 from the fiscal quarter ending September 30, 2020 through the fiscal quarter ending June 30, 2021, with a balloon payment of the entire unpaid principal amount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67" w:right="259" w:bottom="1440" w:gutter="0" w:footer="0" w:header="0"/>
        </w:sectPr>
      </w:pPr>
    </w:p>
    <w:bookmarkStart w:id="14" w:name="page15"/>
    <w:bookmarkEnd w:id="14"/>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71" w:lineRule="exact"/>
        <w:rPr>
          <w:sz w:val="20"/>
          <w:szCs w:val="20"/>
          <w:color w:val="auto"/>
        </w:rPr>
      </w:pPr>
    </w:p>
    <w:p>
      <w:pPr>
        <w:ind w:left="40" w:right="4240"/>
        <w:spacing w:after="0" w:line="301"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56"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of the term note on August 3, 2021. The term note is collateralized by substantially all the Company’s assets, which includes rights to future commissions.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for each leverage ratio tier are as follows:</w:t>
      </w:r>
    </w:p>
    <w:p>
      <w:pPr>
        <w:spacing w:after="0" w:line="277" w:lineRule="exact"/>
        <w:rPr>
          <w:sz w:val="20"/>
          <w:szCs w:val="20"/>
          <w:color w:val="auto"/>
        </w:rPr>
      </w:pPr>
    </w:p>
    <w:tbl>
      <w:tblPr>
        <w:tblLayout w:type="fixed"/>
        <w:tblInd w:w="3500" w:type="dxa"/>
        <w:tblCellMar>
          <w:top w:w="0" w:type="dxa"/>
          <w:left w:w="0" w:type="dxa"/>
          <w:bottom w:w="0" w:type="dxa"/>
          <w:right w:w="0" w:type="dxa"/>
        </w:tblCellMar>
      </w:tblPr>
      <w:tr>
        <w:trPr>
          <w:trHeight w:val="254"/>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Leverage Ratio</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Interest Rate</w:t>
            </w:r>
          </w:p>
        </w:tc>
      </w:tr>
      <w:tr>
        <w:trPr>
          <w:trHeight w:val="251"/>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&lt; 1.50x</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LIBOR + 175.0 bps</w:t>
            </w:r>
          </w:p>
        </w:tc>
      </w:tr>
      <w:tr>
        <w:trPr>
          <w:trHeight w:val="252"/>
        </w:trPr>
        <w:tc>
          <w:tcPr>
            <w:tcW w:w="2160" w:type="dxa"/>
            <w:vAlign w:val="bottom"/>
          </w:tcPr>
          <w:p>
            <w:pPr>
              <w:jc w:val="center"/>
              <w:spacing w:after="0"/>
              <w:rPr>
                <w:sz w:val="20"/>
                <w:szCs w:val="20"/>
                <w:color w:val="auto"/>
              </w:rPr>
            </w:pPr>
            <w:r>
              <w:rPr>
                <w:rFonts w:ascii="Arial" w:cs="Arial" w:eastAsia="Arial" w:hAnsi="Arial"/>
                <w:sz w:val="18"/>
                <w:szCs w:val="18"/>
                <w:color w:val="auto"/>
              </w:rPr>
              <w:t>&gt; 1.50x</w:t>
            </w:r>
          </w:p>
        </w:tc>
        <w:tc>
          <w:tcPr>
            <w:tcW w:w="2280" w:type="dxa"/>
            <w:vAlign w:val="bottom"/>
          </w:tcPr>
          <w:p>
            <w:pPr>
              <w:jc w:val="center"/>
              <w:spacing w:after="0"/>
              <w:rPr>
                <w:sz w:val="20"/>
                <w:szCs w:val="20"/>
                <w:color w:val="auto"/>
              </w:rPr>
            </w:pPr>
            <w:r>
              <w:rPr>
                <w:rFonts w:ascii="Arial" w:cs="Arial" w:eastAsia="Arial" w:hAnsi="Arial"/>
                <w:sz w:val="18"/>
                <w:szCs w:val="18"/>
                <w:color w:val="auto"/>
              </w:rPr>
              <w:t>LIBOR + 200.0 bps</w:t>
            </w:r>
          </w:p>
        </w:tc>
      </w:tr>
      <w:tr>
        <w:trPr>
          <w:trHeight w:val="261"/>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&gt; 2.50x</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LIBOR + 225.0 bps</w:t>
            </w:r>
          </w:p>
        </w:tc>
      </w:tr>
      <w:tr>
        <w:trPr>
          <w:trHeight w:val="247"/>
        </w:trPr>
        <w:tc>
          <w:tcPr>
            <w:tcW w:w="2160" w:type="dxa"/>
            <w:vAlign w:val="bottom"/>
          </w:tcPr>
          <w:p>
            <w:pPr>
              <w:jc w:val="center"/>
              <w:spacing w:after="0"/>
              <w:rPr>
                <w:sz w:val="20"/>
                <w:szCs w:val="20"/>
                <w:color w:val="auto"/>
              </w:rPr>
            </w:pPr>
            <w:r>
              <w:rPr>
                <w:rFonts w:ascii="Arial" w:cs="Arial" w:eastAsia="Arial" w:hAnsi="Arial"/>
                <w:sz w:val="18"/>
                <w:szCs w:val="18"/>
                <w:color w:val="auto"/>
              </w:rPr>
              <w:t>&gt; 3.50x</w:t>
            </w:r>
          </w:p>
        </w:tc>
        <w:tc>
          <w:tcPr>
            <w:tcW w:w="2280" w:type="dxa"/>
            <w:vAlign w:val="bottom"/>
          </w:tcPr>
          <w:p>
            <w:pPr>
              <w:jc w:val="center"/>
              <w:spacing w:after="0"/>
              <w:rPr>
                <w:sz w:val="20"/>
                <w:szCs w:val="20"/>
                <w:color w:val="auto"/>
              </w:rPr>
            </w:pPr>
            <w:r>
              <w:rPr>
                <w:rFonts w:ascii="Arial" w:cs="Arial" w:eastAsia="Arial" w:hAnsi="Arial"/>
                <w:sz w:val="18"/>
                <w:szCs w:val="18"/>
                <w:color w:val="auto"/>
              </w:rPr>
              <w:t>LIBOR + 250.0 bps</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Maturities of the term note payable for the next three calendar years as of March 31, 2019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1" w:lineRule="exact"/>
        <w:rPr>
          <w:sz w:val="20"/>
          <w:szCs w:val="20"/>
          <w:color w:val="auto"/>
        </w:rPr>
      </w:pPr>
    </w:p>
    <w:tbl>
      <w:tblPr>
        <w:tblLayout w:type="fixed"/>
        <w:tblInd w:w="2800" w:type="dxa"/>
        <w:tblCellMar>
          <w:top w:w="0" w:type="dxa"/>
          <w:left w:w="0" w:type="dxa"/>
          <w:bottom w:w="0" w:type="dxa"/>
          <w:right w:w="0" w:type="dxa"/>
        </w:tblCellMar>
      </w:tblPr>
      <w:tr>
        <w:trPr>
          <w:trHeight w:val="254"/>
        </w:trPr>
        <w:tc>
          <w:tcPr>
            <w:tcW w:w="288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51"/>
        </w:trPr>
        <w:tc>
          <w:tcPr>
            <w:tcW w:w="2880" w:type="dxa"/>
            <w:vAlign w:val="bottom"/>
            <w:shd w:val="clear" w:color="auto" w:fill="CCEEFF"/>
          </w:tcPr>
          <w:p>
            <w:pPr>
              <w:jc w:val="right"/>
              <w:ind w:right="2370"/>
              <w:spacing w:after="0"/>
              <w:rPr>
                <w:sz w:val="20"/>
                <w:szCs w:val="20"/>
                <w:color w:val="auto"/>
              </w:rPr>
            </w:pPr>
            <w:r>
              <w:rPr>
                <w:rFonts w:ascii="Arial" w:cs="Arial" w:eastAsia="Arial" w:hAnsi="Arial"/>
                <w:sz w:val="18"/>
                <w:szCs w:val="18"/>
                <w:color w:val="auto"/>
                <w:w w:val="99"/>
              </w:rPr>
              <w:t>2019</w:t>
            </w:r>
          </w:p>
        </w:tc>
        <w:tc>
          <w:tcPr>
            <w:tcW w:w="118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52"/>
        </w:trPr>
        <w:tc>
          <w:tcPr>
            <w:tcW w:w="2880" w:type="dxa"/>
            <w:vAlign w:val="bottom"/>
          </w:tcPr>
          <w:p>
            <w:pPr>
              <w:jc w:val="right"/>
              <w:ind w:right="2370"/>
              <w:spacing w:after="0"/>
              <w:rPr>
                <w:sz w:val="20"/>
                <w:szCs w:val="20"/>
                <w:color w:val="auto"/>
              </w:rPr>
            </w:pPr>
            <w:r>
              <w:rPr>
                <w:rFonts w:ascii="Arial" w:cs="Arial" w:eastAsia="Arial" w:hAnsi="Arial"/>
                <w:sz w:val="18"/>
                <w:szCs w:val="18"/>
                <w:color w:val="auto"/>
                <w:w w:val="99"/>
              </w:rPr>
              <w:t>2020</w:t>
            </w:r>
          </w:p>
        </w:tc>
        <w:tc>
          <w:tcPr>
            <w:tcW w:w="1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57"/>
        </w:trPr>
        <w:tc>
          <w:tcPr>
            <w:tcW w:w="2880" w:type="dxa"/>
            <w:vAlign w:val="bottom"/>
            <w:shd w:val="clear" w:color="auto" w:fill="CCEEFF"/>
          </w:tcPr>
          <w:p>
            <w:pPr>
              <w:jc w:val="right"/>
              <w:ind w:right="2370"/>
              <w:spacing w:after="0"/>
              <w:rPr>
                <w:sz w:val="20"/>
                <w:szCs w:val="20"/>
                <w:color w:val="auto"/>
              </w:rPr>
            </w:pPr>
            <w:r>
              <w:rPr>
                <w:rFonts w:ascii="Arial" w:cs="Arial" w:eastAsia="Arial" w:hAnsi="Arial"/>
                <w:sz w:val="18"/>
                <w:szCs w:val="18"/>
                <w:color w:val="auto"/>
                <w:w w:val="99"/>
              </w:rPr>
              <w:t>2021</w:t>
            </w:r>
          </w:p>
        </w:tc>
        <w:tc>
          <w:tcPr>
            <w:tcW w:w="118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w:t>
            </w:r>
          </w:p>
        </w:tc>
      </w:tr>
      <w:tr>
        <w:trPr>
          <w:trHeight w:val="250"/>
        </w:trPr>
        <w:tc>
          <w:tcPr>
            <w:tcW w:w="2880" w:type="dxa"/>
            <w:vAlign w:val="bottom"/>
          </w:tcPr>
          <w:p>
            <w:pPr>
              <w:spacing w:after="0"/>
              <w:rPr>
                <w:sz w:val="21"/>
                <w:szCs w:val="21"/>
                <w:color w:val="auto"/>
              </w:rPr>
            </w:pPr>
          </w:p>
        </w:tc>
        <w:tc>
          <w:tcPr>
            <w:tcW w:w="118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38,500</w:t>
            </w:r>
          </w:p>
        </w:tc>
      </w:tr>
      <w:tr>
        <w:trPr>
          <w:trHeight w:val="20"/>
        </w:trPr>
        <w:tc>
          <w:tcPr>
            <w:tcW w:w="28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$10.0 million drawn against the revolver is coterminous with the term loan and is due in full on August 3, 2021.</w:t>
      </w:r>
    </w:p>
    <w:p>
      <w:pPr>
        <w:spacing w:after="0" w:line="117" w:lineRule="exact"/>
        <w:rPr>
          <w:sz w:val="20"/>
          <w:szCs w:val="20"/>
          <w:color w:val="auto"/>
        </w:rPr>
      </w:pPr>
    </w:p>
    <w:p>
      <w:pPr>
        <w:ind w:right="580"/>
        <w:spacing w:after="0" w:line="292" w:lineRule="auto"/>
        <w:rPr>
          <w:sz w:val="20"/>
          <w:szCs w:val="20"/>
          <w:color w:val="auto"/>
        </w:rPr>
      </w:pPr>
      <w:r>
        <w:rPr>
          <w:rFonts w:ascii="Arial" w:cs="Arial" w:eastAsia="Arial" w:hAnsi="Arial"/>
          <w:sz w:val="18"/>
          <w:szCs w:val="18"/>
          <w:color w:val="auto"/>
        </w:rPr>
        <w:t>Loan origination fees of $499 thousand at March 31, 2019 are reflected as a reduction to the note balance and will be amortized through interest expense over three years (the term of the note payable).</w:t>
      </w:r>
    </w:p>
    <w:p>
      <w:pPr>
        <w:spacing w:after="0" w:line="3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Company’s note payable agreement contains certain restrictions and covenants. Under these restrictions, the Company is limited in the amount of debt incurred and distributions payable. In addition, the credit agreement contains certain change of control provisions that, if broken, would trigger a default. Finally, the Company must maintain certain financial ratios. As of March 31, 2019, the Company was in compliance with these covenants.</w:t>
      </w:r>
    </w:p>
    <w:p>
      <w:pPr>
        <w:spacing w:after="0" w:line="62"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Because of both instruments’ origination date and variable interest rate, the note payable balance at March 31, 2019 and December 31, 2018, approximates fair value using Level 2 inputs, described below.</w:t>
      </w:r>
    </w:p>
    <w:p>
      <w:pPr>
        <w:spacing w:after="0" w:line="3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pacing w:after="0" w:line="75"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1—Unadjusted quoted prices in active markets that are accessible at the measurement date for identical, unrestricted assets.</w:t>
      </w:r>
    </w:p>
    <w:p>
      <w:pPr>
        <w:spacing w:after="0" w:line="31" w:lineRule="exact"/>
        <w:rPr>
          <w:rFonts w:ascii="Arial" w:cs="Arial" w:eastAsia="Arial" w:hAnsi="Arial"/>
          <w:sz w:val="18"/>
          <w:szCs w:val="18"/>
          <w:color w:val="auto"/>
        </w:rPr>
      </w:pPr>
    </w:p>
    <w:p>
      <w:pPr>
        <w:ind w:left="280" w:hanging="272"/>
        <w:spacing w:after="0" w:line="250"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2—Significant other observable inputs other than Level 1 prices such as quoted prices in markets that are not active, quoted prices for similar assets or other inputs that are observable, either directly or indirectly, for substantially the full term of the asset.</w:t>
      </w:r>
    </w:p>
    <w:p>
      <w:pPr>
        <w:ind w:left="280" w:right="260" w:hanging="272"/>
        <w:spacing w:after="0" w:line="266"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3—Significant unobservable inputs that reflect a reporting entity’s own assumptions about the assumptions that market participants would use in pricing an asset or liability.</w:t>
      </w:r>
    </w:p>
    <w:p>
      <w:pPr>
        <w:spacing w:after="0" w:line="5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asset or liability’s fair value measurement level within the fair value hierarchy is based on the lowest level of any input that is significant to the fair value measurement. The valuation techniques used need to maximize the use of observable inputs and minimize the use of unobservable inputs.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Commitments and Contingencies</w:t>
      </w:r>
    </w:p>
    <w:p>
      <w:pPr>
        <w:spacing w:after="0" w:line="220"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The Company leases its facilities under non-cancelable operating leases, expiring in various years through 2029. In addition to monthly lease payments, the lease agreements require the Company to reimburse the lessors for its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67" w:right="239" w:bottom="1440" w:gutter="0" w:footer="0" w:header="0"/>
        </w:sectPr>
      </w:pPr>
    </w:p>
    <w:bookmarkStart w:id="15" w:name="page16"/>
    <w:bookmarkEnd w:id="15"/>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71" w:lineRule="exact"/>
        <w:rPr>
          <w:sz w:val="20"/>
          <w:szCs w:val="20"/>
          <w:color w:val="auto"/>
        </w:rPr>
      </w:pPr>
    </w:p>
    <w:p>
      <w:pPr>
        <w:ind w:left="40" w:right="4040"/>
        <w:spacing w:after="0" w:line="301"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364"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portion of operating costs each year. Rent expense was $447 thousand and $405 thousand for the three months ended March 31, 2019 and 2018.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schedule of future minimum lease payments as of March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tbl>
      <w:tblPr>
        <w:tblLayout w:type="fixed"/>
        <w:tblInd w:w="2740" w:type="dxa"/>
        <w:tblCellMar>
          <w:top w:w="0" w:type="dxa"/>
          <w:left w:w="0" w:type="dxa"/>
          <w:bottom w:w="0" w:type="dxa"/>
          <w:right w:w="0" w:type="dxa"/>
        </w:tblCellMar>
      </w:tblPr>
      <w:tr>
        <w:trPr>
          <w:trHeight w:val="248"/>
        </w:trPr>
        <w:tc>
          <w:tcPr>
            <w:tcW w:w="29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r>
      <w:tr>
        <w:trPr>
          <w:trHeight w:val="255"/>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4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r>
      <w:tr>
        <w:trPr>
          <w:trHeight w:val="252"/>
        </w:trPr>
        <w:tc>
          <w:tcPr>
            <w:tcW w:w="2920" w:type="dxa"/>
            <w:vAlign w:val="bottom"/>
          </w:tcPr>
          <w:p>
            <w:pPr>
              <w:ind w:left="20"/>
              <w:spacing w:after="0"/>
              <w:rPr>
                <w:sz w:val="20"/>
                <w:szCs w:val="20"/>
                <w:color w:val="auto"/>
              </w:rPr>
            </w:pPr>
            <w:r>
              <w:rPr>
                <w:rFonts w:ascii="Arial" w:cs="Arial" w:eastAsia="Arial" w:hAnsi="Arial"/>
                <w:sz w:val="18"/>
                <w:szCs w:val="18"/>
                <w:color w:val="auto"/>
              </w:rPr>
              <w:t>2020</w:t>
            </w:r>
          </w:p>
        </w:tc>
        <w:tc>
          <w:tcPr>
            <w:tcW w:w="1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2,575</w:t>
            </w:r>
          </w:p>
        </w:tc>
      </w:tr>
      <w:tr>
        <w:trPr>
          <w:trHeight w:val="261"/>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4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r>
      <w:tr>
        <w:trPr>
          <w:trHeight w:val="252"/>
        </w:trPr>
        <w:tc>
          <w:tcPr>
            <w:tcW w:w="2920" w:type="dxa"/>
            <w:vAlign w:val="bottom"/>
          </w:tcPr>
          <w:p>
            <w:pPr>
              <w:ind w:left="20"/>
              <w:spacing w:after="0"/>
              <w:rPr>
                <w:sz w:val="20"/>
                <w:szCs w:val="20"/>
                <w:color w:val="auto"/>
              </w:rPr>
            </w:pPr>
            <w:r>
              <w:rPr>
                <w:rFonts w:ascii="Arial" w:cs="Arial" w:eastAsia="Arial" w:hAnsi="Arial"/>
                <w:sz w:val="18"/>
                <w:szCs w:val="18"/>
                <w:color w:val="auto"/>
              </w:rPr>
              <w:t>2022</w:t>
            </w:r>
          </w:p>
        </w:tc>
        <w:tc>
          <w:tcPr>
            <w:tcW w:w="12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2,762</w:t>
            </w:r>
          </w:p>
        </w:tc>
      </w:tr>
      <w:tr>
        <w:trPr>
          <w:trHeight w:val="261"/>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4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r>
      <w:tr>
        <w:trPr>
          <w:trHeight w:val="252"/>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2023-2029</w:t>
            </w:r>
          </w:p>
        </w:tc>
        <w:tc>
          <w:tcPr>
            <w:tcW w:w="12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11,626</w:t>
            </w:r>
          </w:p>
        </w:tc>
      </w:tr>
      <w:tr>
        <w:trPr>
          <w:trHeight w:val="250"/>
        </w:trPr>
        <w:tc>
          <w:tcPr>
            <w:tcW w:w="29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23,641</w:t>
            </w:r>
          </w:p>
        </w:tc>
      </w:tr>
      <w:tr>
        <w:trPr>
          <w:trHeight w:val="20"/>
        </w:trPr>
        <w:tc>
          <w:tcPr>
            <w:tcW w:w="29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Income Taxes</w:t>
      </w:r>
    </w:p>
    <w:p>
      <w:pPr>
        <w:spacing w:after="0" w:line="22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As a result of the Reorganization Transactions and the Offering, GSHD became the sole managing member of GF, which is treated as a partnership for U.S. federal and most applicable state and local income tax purposes. As a partnership, GF is not subject to U.S. federal and certain state and local income taxes. Any taxable income or loss generated by GF is passed through to and included in the taxable income or loss of its members, including GSHD, on a pro rata basis. GSHD is subject to U.S. federal income taxes, in addition to state and local income taxes, with respect to GSHD's allocable share of income of GF.</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 xml:space="preserve">A reconciliation of income tax expense computed at the U.S. federal statutory income tax rate to the income tax expense recognized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0" w:lineRule="exact"/>
        <w:rPr>
          <w:sz w:val="20"/>
          <w:szCs w:val="20"/>
          <w:color w:val="auto"/>
        </w:rPr>
      </w:pPr>
    </w:p>
    <w:tbl>
      <w:tblPr>
        <w:tblLayout w:type="fixed"/>
        <w:tblInd w:w="184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r>
      <w:tr>
        <w:trPr>
          <w:trHeight w:val="250"/>
        </w:trPr>
        <w:tc>
          <w:tcPr>
            <w:tcW w:w="40" w:type="dxa"/>
            <w:vAlign w:val="bottom"/>
            <w:tcBorders>
              <w:bottom w:val="single" w:sz="8" w:color="CCEEFF"/>
            </w:tcBorders>
          </w:tcPr>
          <w:p>
            <w:pPr>
              <w:spacing w:after="0"/>
              <w:rPr>
                <w:sz w:val="21"/>
                <w:szCs w:val="21"/>
                <w:color w:val="auto"/>
              </w:rPr>
            </w:pPr>
          </w:p>
        </w:tc>
        <w:tc>
          <w:tcPr>
            <w:tcW w:w="4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31, 2019</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31, 2018</w:t>
            </w:r>
          </w:p>
        </w:tc>
      </w:tr>
      <w:tr>
        <w:trPr>
          <w:trHeight w:val="231"/>
        </w:trPr>
        <w:tc>
          <w:tcPr>
            <w:tcW w:w="40" w:type="dxa"/>
            <w:vAlign w:val="bottom"/>
            <w:tcBorders>
              <w:bottom w:val="single" w:sz="8" w:color="CCEEFF"/>
            </w:tcBorders>
            <w:shd w:val="clear" w:color="auto" w:fill="CCEEFF"/>
          </w:tcPr>
          <w:p>
            <w:pPr>
              <w:spacing w:after="0"/>
              <w:rPr>
                <w:sz w:val="20"/>
                <w:szCs w:val="20"/>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Income before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3,768</w:t>
            </w:r>
          </w:p>
        </w:tc>
      </w:tr>
      <w:tr>
        <w:trPr>
          <w:trHeight w:val="207"/>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Less: (income) prior to the Reorganization</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48"/>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Transactions</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w:t>
            </w:r>
          </w:p>
        </w:tc>
      </w:tr>
      <w:tr>
        <w:trPr>
          <w:trHeight w:val="250"/>
        </w:trPr>
        <w:tc>
          <w:tcPr>
            <w:tcW w:w="40" w:type="dxa"/>
            <w:vAlign w:val="bottom"/>
            <w:shd w:val="clear" w:color="auto" w:fill="CCEEFF"/>
          </w:tcPr>
          <w:p>
            <w:pPr>
              <w:spacing w:after="0"/>
              <w:rPr>
                <w:sz w:val="21"/>
                <w:szCs w:val="21"/>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before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8,062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22"/>
        </w:trPr>
        <w:tc>
          <w:tcPr>
            <w:tcW w:w="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7"/>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taxes at U.S. federal statutory rate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7"/>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Tax on income not subject to entity level federal</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48"/>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income tax</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(1,058)</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Permanent Differences:</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65"/>
        </w:trPr>
        <w:tc>
          <w:tcPr>
            <w:tcW w:w="40" w:type="dxa"/>
            <w:vAlign w:val="bottom"/>
          </w:tcPr>
          <w:p>
            <w:pPr>
              <w:spacing w:after="0"/>
              <w:rPr>
                <w:sz w:val="23"/>
                <w:szCs w:val="23"/>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Meals &amp; Entertainment</w:t>
            </w:r>
          </w:p>
        </w:tc>
        <w:tc>
          <w:tcPr>
            <w:tcW w:w="22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1"/>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5"/>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Other Reconciling items:</w:t>
            </w: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61"/>
        </w:trPr>
        <w:tc>
          <w:tcPr>
            <w:tcW w:w="40" w:type="dxa"/>
            <w:vAlign w:val="bottom"/>
            <w:shd w:val="clear" w:color="auto" w:fill="CCEEFF"/>
          </w:tcPr>
          <w:p>
            <w:pPr>
              <w:spacing w:after="0"/>
              <w:rPr>
                <w:sz w:val="22"/>
                <w:szCs w:val="22"/>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5"/>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744</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deferred tax assets and liabilities are as follows:</w:t>
      </w:r>
    </w:p>
    <w:p>
      <w:pPr>
        <w:sectPr>
          <w:pgSz w:w="11900" w:h="16838" w:orient="portrait"/>
          <w:cols w:equalWidth="0" w:num="1">
            <w:col w:w="11220"/>
          </w:cols>
          <w:pgMar w:left="240" w:top="267" w:right="439" w:bottom="1440" w:gutter="0" w:footer="0" w:header="0"/>
        </w:sectPr>
      </w:pP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20"/>
          </w:cols>
          <w:pgMar w:left="240" w:top="267" w:right="439" w:bottom="1440" w:gutter="0" w:footer="0" w:header="0"/>
          <w:type w:val="continuous"/>
        </w:sectPr>
      </w:pPr>
    </w:p>
    <w:bookmarkStart w:id="16" w:name="page17"/>
    <w:bookmarkEnd w:id="16"/>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71" w:lineRule="exact"/>
        <w:rPr>
          <w:sz w:val="20"/>
          <w:szCs w:val="20"/>
          <w:color w:val="auto"/>
        </w:rPr>
      </w:pPr>
    </w:p>
    <w:p>
      <w:pPr>
        <w:ind w:left="40" w:right="4180"/>
        <w:spacing w:after="0" w:line="301"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30" w:lineRule="exact"/>
        <w:rPr>
          <w:sz w:val="20"/>
          <w:szCs w:val="20"/>
          <w:color w:val="auto"/>
        </w:rPr>
      </w:pPr>
    </w:p>
    <w:tbl>
      <w:tblPr>
        <w:tblLayout w:type="fixed"/>
        <w:tblInd w:w="1280" w:type="dxa"/>
        <w:tblCellMar>
          <w:top w:w="0" w:type="dxa"/>
          <w:left w:w="0" w:type="dxa"/>
          <w:bottom w:w="0" w:type="dxa"/>
          <w:right w:w="0" w:type="dxa"/>
        </w:tblCellMar>
      </w:tblPr>
      <w:tr>
        <w:trPr>
          <w:trHeight w:val="254"/>
        </w:trPr>
        <w:tc>
          <w:tcPr>
            <w:tcW w:w="4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March 31, 2019</w:t>
            </w: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December 31, 2018</w:t>
            </w:r>
          </w:p>
        </w:tc>
      </w:tr>
      <w:tr>
        <w:trPr>
          <w:trHeight w:val="246"/>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flow-through entity</w:t>
            </w:r>
          </w:p>
        </w:tc>
        <w:tc>
          <w:tcPr>
            <w:tcW w:w="30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w:t>
            </w:r>
          </w:p>
        </w:tc>
        <w:tc>
          <w:tcPr>
            <w:tcW w:w="260" w:type="dxa"/>
            <w:vAlign w:val="bottom"/>
            <w:tcBorders>
              <w:bottom w:val="single" w:sz="8" w:color="auto"/>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1,958</w:t>
            </w:r>
          </w:p>
        </w:tc>
      </w:tr>
      <w:tr>
        <w:trPr>
          <w:trHeight w:val="255"/>
        </w:trPr>
        <w:tc>
          <w:tcPr>
            <w:tcW w:w="4380" w:type="dxa"/>
            <w:vAlign w:val="bottom"/>
          </w:tcPr>
          <w:p>
            <w:pPr>
              <w:ind w:left="20"/>
              <w:spacing w:after="0"/>
              <w:rPr>
                <w:sz w:val="20"/>
                <w:szCs w:val="20"/>
                <w:color w:val="auto"/>
              </w:rPr>
            </w:pPr>
            <w:r>
              <w:rPr>
                <w:rFonts w:ascii="Arial" w:cs="Arial" w:eastAsia="Arial" w:hAnsi="Arial"/>
                <w:sz w:val="18"/>
                <w:szCs w:val="18"/>
                <w:color w:val="auto"/>
              </w:rPr>
              <w:t>Net deferred tax asset (liability)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7,950</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1,958</w:t>
            </w:r>
          </w:p>
        </w:tc>
      </w:tr>
      <w:tr>
        <w:trPr>
          <w:trHeight w:val="20"/>
        </w:trPr>
        <w:tc>
          <w:tcPr>
            <w:tcW w:w="4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GSHD has determined there are no material uncertain tax positions as of March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GF intends to make an election under Section 754 of the Internal Revenue Code of 1986, as amended, and the regulations thereunder (the “Code”) effective for each taxable year in which a redemption or exchange of LLC Units and corresponding Class B common stock for shares of Class A common stock occurs. Future taxable redemptions or exchanges are expected to result in tax basis adjustments to the assets of GF that will be allocated to the Company and thus produce favorable tax attributes. These tax attributes would not be available to GSHD in the absence of those transactions. The anticipated tax basis adjustments are expected to reduce the amount of tax that GSHD would otherwise be required to pay in the future.</w:t>
      </w:r>
    </w:p>
    <w:p>
      <w:pPr>
        <w:spacing w:after="0" w:line="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GSHD entered into a tax receivable agreement with the Pre-IPO LLC Members on May 1, 2018 that provides for the payment by GSHD to the Pre-IPO LLC Members of 85% of the amount of cash savings, if any, in U.S. federal, state and local income tax or franchise tax that GSHD actually realizes as a result of (i) any increase in tax basis in GSHD's assets and (ii) tax benefits related to imputed interest deemed arising as a result of payments made under the tax receivable agreement.</w:t>
      </w:r>
    </w:p>
    <w:p>
      <w:pPr>
        <w:spacing w:after="0" w:line="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three months ended March 31, 2019, an aggregate of 723 thousand LLC Units were redeemed by the Pre-IPO LLC Members for newly issued shares of Class A common stock. In connection with these redemptions, GSHD received 723 thousand LLC Units, which resulted in an increase in the tax basis of its investment in GF subject to the provisions of the Tax Receivable Agreement. The Company recognized a liability for the TRA Payments due to the Pre-IPO LLC Members, representing 85% of the aggregate tax benefits the Company expects to realize from the tax basis increases related to the redemptions of LLC Units, after concluding it was probable that such TRA Payments would be paid based on its estimates of future taxable income. As of March 31, 2019, the total amount of TRA Payments due to the Pre-IPO LLC Members under the Tax Receivable Agreement was $6.9 million, of which $9 thousand was current and included in Accounts payables and accrued expenses on the Consolidated Balance Sheet.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Stockholders'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7"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GSHD has a total of 14,522 thousand shares of its Class A common stock outstanding at March 31, 2019. Each share of Class A common stock holds economic rights and entitles its holder to one vote per share on all matters submitted to a vote of the stockholders of GSHD.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7"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GSHD has a total of 21,763 thousand shares of its Class B common stock outstanding at March 31, 2019. Each share of Class B common stock has no economic rights but entitles its holder to one vote per share on all matters submitted to a vote of the stockholders of GSHD.</w:t>
      </w:r>
    </w:p>
    <w:p>
      <w:pPr>
        <w:spacing w:after="0" w:line="37" w:lineRule="exact"/>
        <w:rPr>
          <w:sz w:val="20"/>
          <w:szCs w:val="20"/>
          <w:color w:val="auto"/>
        </w:rPr>
      </w:pPr>
    </w:p>
    <w:p>
      <w:pPr>
        <w:spacing w:after="0" w:line="323" w:lineRule="auto"/>
        <w:rPr>
          <w:sz w:val="20"/>
          <w:szCs w:val="20"/>
          <w:color w:val="auto"/>
        </w:rPr>
      </w:pPr>
      <w:r>
        <w:rPr>
          <w:rFonts w:ascii="Arial" w:cs="Arial" w:eastAsia="Arial" w:hAnsi="Arial"/>
          <w:sz w:val="17"/>
          <w:szCs w:val="17"/>
          <w:color w:val="auto"/>
        </w:rPr>
        <w:t>Holders of Class A common stock and Class B common stock vote together as a single class on all matters presented to GSHD's shareholders for their vote or approval, except as otherwise required by applicable law, by agreement, or by GSHD's certificate of incorporation.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67" w:right="299" w:bottom="1440" w:gutter="0" w:footer="0" w:header="0"/>
        </w:sectPr>
      </w:pPr>
    </w:p>
    <w:bookmarkStart w:id="17" w:name="page18"/>
    <w:bookmarkEnd w:id="17"/>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71" w:lineRule="exact"/>
        <w:rPr>
          <w:sz w:val="20"/>
          <w:szCs w:val="20"/>
          <w:color w:val="auto"/>
        </w:rPr>
      </w:pPr>
    </w:p>
    <w:p>
      <w:pPr>
        <w:ind w:left="40" w:right="4240"/>
        <w:spacing w:after="0" w:line="301"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56"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Following the Offering, GSHD became the sole managing member of GF and, as a result, it consolidates the financial results of GF. GSHD reports a non-controlling interest representing the economic interest in GF held by the other members of GF.</w:t>
      </w:r>
    </w:p>
    <w:p>
      <w:pPr>
        <w:spacing w:after="0" w:line="3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 quarterly basis, GF makes distributions to the LLC Unit holders on a pro rata basis to facilitate the LLC Unit holder's quarterly tax payments. For the three months ended March 31, 2019, GF made distributions of $400 thousand, of which $245 thousand where made to Pre-IPO LLC Members. The remaining $155 thousand were made to GSHD and were eliminated in consolidation. There were no distributions made during the three months ended March 31, 2018.</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amended and restated Goosehead Financial, LLC Agreement, the Pre-IPO LLC Members have the right, from and after the completion of the Offering (subject to the terms of the amended and restated Goosehead Financial, LLC Agreement), to require GSHD to redeem all or a portion of their LLC Units for, at GSHD's election, newly-issued shares of Class A common stock on a one-for-one basis or a cash payment equal to the volume weighted average market price of one share of GSHD's Class A common stock for each LLC Unit redeemed (subject to customary adjustments, including for stock splits, stock dividends and reclassifications) in accordance with the terms of the amended and restated Goosehead Financial, LLC Agreement. Additionally, in the event of a redemption request by a Pre-IPO LLC Member, GSHD may, at its option, effect a direct exchange of cash or Class A common stock for LLC Units in lieu of such a redemption. Shares of Class B common stock will be cancelled on a one-for-one basis if GSHD, at the election of a Pre-IPO LLC Member, redeems or exchanges LLC Units of such Pre-IPO LLC Member pursuant to the terms of the amended and restated Goosehead Financial, LLC Agreement. Except for transfers to GSHD pursuant to the amended and restated Goosehead Financial, LLC Agreement or to certain permitted transferees, the Pre-IPO LLC Members are not permitted to sell, transfer or otherwise dispose of any LLC Units or shares of Class B common stock.</w:t>
      </w:r>
    </w:p>
    <w:p>
      <w:pPr>
        <w:spacing w:after="0" w:line="7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During the three months ended March 31, 2019, an aggregate of 723 thousand LLC Units were redeemed by the non-controlling interest holders. Pursuant to the GF LLC Agreement, GSHD issued 723 thousand shares of Class A common stock in connection with these redemptions and received 723 thousand LLC Interests, increasing GSHD's ownership interest in GF. Simultaneously, and in connection with these redemptions, 723 thousand shares of Class B common stock were surrendered and cancelled.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GF as of March 31, 2019 (in thousands).</w:t>
      </w:r>
    </w:p>
    <w:p>
      <w:pPr>
        <w:spacing w:after="0" w:line="291" w:lineRule="exact"/>
        <w:rPr>
          <w:sz w:val="20"/>
          <w:szCs w:val="20"/>
          <w:color w:val="auto"/>
        </w:rPr>
      </w:pPr>
    </w:p>
    <w:tbl>
      <w:tblPr>
        <w:tblLayout w:type="fixed"/>
        <w:tblInd w:w="560" w:type="dxa"/>
        <w:tblCellMar>
          <w:top w:w="0" w:type="dxa"/>
          <w:left w:w="0" w:type="dxa"/>
          <w:bottom w:w="0" w:type="dxa"/>
          <w:right w:w="0" w:type="dxa"/>
        </w:tblCellMar>
      </w:tblPr>
      <w:tr>
        <w:trPr>
          <w:trHeight w:val="254"/>
        </w:trPr>
        <w:tc>
          <w:tcPr>
            <w:tcW w:w="7020" w:type="dxa"/>
            <w:vAlign w:val="bottom"/>
          </w:tcPr>
          <w:p>
            <w:pPr>
              <w:spacing w:after="0"/>
              <w:rPr>
                <w:sz w:val="22"/>
                <w:szCs w:val="22"/>
                <w:color w:val="auto"/>
              </w:rPr>
            </w:pPr>
          </w:p>
        </w:tc>
        <w:tc>
          <w:tcPr>
            <w:tcW w:w="3300" w:type="dxa"/>
            <w:vAlign w:val="bottom"/>
            <w:tcBorders>
              <w:bottom w:val="single" w:sz="8" w:color="auto"/>
            </w:tcBorders>
            <w:gridSpan w:val="2"/>
          </w:tcPr>
          <w:p>
            <w:pPr>
              <w:ind w:left="1000"/>
              <w:spacing w:after="0"/>
              <w:rPr>
                <w:sz w:val="20"/>
                <w:szCs w:val="20"/>
                <w:color w:val="auto"/>
              </w:rPr>
            </w:pPr>
            <w:r>
              <w:rPr>
                <w:rFonts w:ascii="Arial" w:cs="Arial" w:eastAsia="Arial" w:hAnsi="Arial"/>
                <w:sz w:val="18"/>
                <w:szCs w:val="18"/>
                <w:b w:val="1"/>
                <w:bCs w:val="1"/>
                <w:color w:val="auto"/>
              </w:rPr>
              <w:t>March 31, 2019</w:t>
            </w:r>
          </w:p>
        </w:tc>
      </w:tr>
      <w:tr>
        <w:trPr>
          <w:trHeight w:val="250"/>
        </w:trPr>
        <w:tc>
          <w:tcPr>
            <w:tcW w:w="70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LLC Units</w:t>
            </w:r>
          </w:p>
        </w:tc>
        <w:tc>
          <w:tcPr>
            <w:tcW w:w="17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Ownership %</w:t>
            </w:r>
          </w:p>
        </w:tc>
      </w:tr>
      <w:tr>
        <w:trPr>
          <w:trHeight w:val="23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Number of LLC Units held by GSHD</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14,522</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40.0%</w:t>
            </w:r>
          </w:p>
        </w:tc>
      </w:tr>
      <w:tr>
        <w:trPr>
          <w:trHeight w:val="252"/>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Number of LLC Units held by non-controlling interest holders</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21,763</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60.0%</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Number of LLC Units outstanding</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36,285</w:t>
            </w: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100.0%</w:t>
            </w:r>
          </w:p>
        </w:tc>
      </w:tr>
      <w:tr>
        <w:trPr>
          <w:trHeight w:val="20"/>
        </w:trPr>
        <w:tc>
          <w:tcPr>
            <w:tcW w:w="70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weighted average ownership percentages for the applicable reporting periods are used to attribute net income to GSHD and the non-controlling interest holders. The non-controlling interest holders' weighted average ownership percentage for the three months ended March 31, 2019 was 60.8%. All net income prior to the Offering is attributed to non-controlling interest holders.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 xml:space="preserve">The following table sets forth the calculation of basic earnings per share ("EPS") based on net income attributable to GSHD for the three months ended March 31, 2019, divided by the basic weighted average number of Class A common stock as of March 31, 2019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r>
        <w:rPr>
          <w:rFonts w:ascii="Arial" w:cs="Arial" w:eastAsia="Arial" w:hAnsi="Arial"/>
          <w:sz w:val="18"/>
          <w:szCs w:val="18"/>
          <w:i w:val="1"/>
          <w:iCs w:val="1"/>
          <w:color w:val="auto"/>
        </w:rPr>
        <w:t>except per share amounts)</w:t>
      </w:r>
      <w:r>
        <w:rPr>
          <w:rFonts w:ascii="Arial" w:cs="Arial" w:eastAsia="Arial" w:hAnsi="Arial"/>
          <w:sz w:val="18"/>
          <w:szCs w:val="18"/>
          <w:color w:val="auto"/>
        </w:rPr>
        <w:t>. Diluted earnings per share of Class A common stock is computed by dividing net income attributable to GSHD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weighted average number of shares of Class A common stock outstanding adjusted to give effect to potentially dilutive securities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amounts)</w:t>
      </w:r>
      <w:r>
        <w:rPr>
          <w:rFonts w:ascii="Arial" w:cs="Arial" w:eastAsia="Arial" w:hAnsi="Arial"/>
          <w:sz w:val="18"/>
          <w:szCs w:val="18"/>
          <w:color w:val="auto"/>
        </w:rPr>
        <w:t>. The Company has not included the effects of conversion of Class B shares to Class A shares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EPS calculation using the "if-converted" method, because doing so has no impact on diluted EPS.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7"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71" w:lineRule="exact"/>
        <w:rPr>
          <w:sz w:val="20"/>
          <w:szCs w:val="20"/>
          <w:color w:val="auto"/>
        </w:rPr>
      </w:pPr>
    </w:p>
    <w:p>
      <w:pPr>
        <w:ind w:left="40" w:right="4140"/>
        <w:spacing w:after="0" w:line="301"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212"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7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Pr>
          <w:p>
            <w:pPr>
              <w:jc w:val="right"/>
              <w:ind w:right="230"/>
              <w:spacing w:after="0"/>
              <w:rPr>
                <w:sz w:val="20"/>
                <w:szCs w:val="20"/>
                <w:color w:val="auto"/>
              </w:rPr>
            </w:pPr>
            <w:r>
              <w:rPr>
                <w:rFonts w:ascii="Arial" w:cs="Arial" w:eastAsia="Arial" w:hAnsi="Arial"/>
                <w:sz w:val="18"/>
                <w:szCs w:val="18"/>
                <w:b w:val="1"/>
                <w:bCs w:val="1"/>
                <w:color w:val="auto"/>
              </w:rPr>
              <w:t>Three Months Ended</w:t>
            </w:r>
          </w:p>
        </w:tc>
      </w:tr>
      <w:tr>
        <w:trPr>
          <w:trHeight w:val="254"/>
        </w:trPr>
        <w:tc>
          <w:tcPr>
            <w:tcW w:w="74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March 31, 2019</w:t>
            </w:r>
          </w:p>
        </w:tc>
      </w:tr>
      <w:tr>
        <w:trPr>
          <w:trHeight w:val="244"/>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65"/>
        </w:trPr>
        <w:tc>
          <w:tcPr>
            <w:tcW w:w="7480" w:type="dxa"/>
            <w:vAlign w:val="bottom"/>
          </w:tcPr>
          <w:p>
            <w:pPr>
              <w:ind w:left="160"/>
              <w:spacing w:after="0"/>
              <w:rPr>
                <w:sz w:val="20"/>
                <w:szCs w:val="20"/>
                <w:color w:val="auto"/>
              </w:rPr>
            </w:pPr>
            <w:r>
              <w:rPr>
                <w:rFonts w:ascii="Arial" w:cs="Arial" w:eastAsia="Arial" w:hAnsi="Arial"/>
                <w:sz w:val="18"/>
                <w:szCs w:val="18"/>
                <w:color w:val="auto"/>
              </w:rPr>
              <w:t>Income before taxes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8,062</w:t>
            </w:r>
          </w:p>
        </w:tc>
      </w:tr>
      <w:tr>
        <w:trPr>
          <w:trHeight w:val="275"/>
        </w:trPr>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income before taxes attributable to non-controlling interests</w:t>
            </w:r>
          </w:p>
        </w:tc>
        <w:tc>
          <w:tcPr>
            <w:tcW w:w="220" w:type="dxa"/>
            <w:vAlign w:val="bottom"/>
            <w:tcBorders>
              <w:bottom w:val="single" w:sz="8" w:color="auto"/>
            </w:tcBorders>
            <w:shd w:val="clear" w:color="auto" w:fill="CCEEFF"/>
          </w:tcPr>
          <w:p>
            <w:pPr>
              <w:spacing w:after="0"/>
              <w:rPr>
                <w:sz w:val="23"/>
                <w:szCs w:val="23"/>
                <w:color w:val="auto"/>
              </w:rPr>
            </w:pP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4,909</w:t>
            </w:r>
          </w:p>
        </w:tc>
      </w:tr>
      <w:tr>
        <w:trPr>
          <w:trHeight w:val="245"/>
        </w:trPr>
        <w:tc>
          <w:tcPr>
            <w:tcW w:w="7480" w:type="dxa"/>
            <w:vAlign w:val="bottom"/>
          </w:tcPr>
          <w:p>
            <w:pPr>
              <w:ind w:left="160"/>
              <w:spacing w:after="0"/>
              <w:rPr>
                <w:sz w:val="20"/>
                <w:szCs w:val="20"/>
                <w:color w:val="auto"/>
              </w:rPr>
            </w:pPr>
            <w:r>
              <w:rPr>
                <w:rFonts w:ascii="Arial" w:cs="Arial" w:eastAsia="Arial" w:hAnsi="Arial"/>
                <w:sz w:val="18"/>
                <w:szCs w:val="18"/>
                <w:color w:val="auto"/>
              </w:rPr>
              <w:t>Income before taxes attributable to GSHD</w:t>
            </w:r>
          </w:p>
        </w:tc>
        <w:tc>
          <w:tcPr>
            <w:tcW w:w="22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3,153</w:t>
            </w:r>
          </w:p>
        </w:tc>
      </w:tr>
      <w:tr>
        <w:trPr>
          <w:trHeight w:val="275"/>
        </w:trPr>
        <w:tc>
          <w:tcPr>
            <w:tcW w:w="7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Less: income tax expense attributable to GSHD</w:t>
            </w:r>
          </w:p>
        </w:tc>
        <w:tc>
          <w:tcPr>
            <w:tcW w:w="2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w:t>
            </w:r>
          </w:p>
        </w:tc>
      </w:tr>
      <w:tr>
        <w:trPr>
          <w:trHeight w:val="245"/>
        </w:trPr>
        <w:tc>
          <w:tcPr>
            <w:tcW w:w="7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attributable to GSHD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2,472</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Denominator:</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65"/>
        </w:trPr>
        <w:tc>
          <w:tcPr>
            <w:tcW w:w="74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Weighted average shares of Class A common stock outstanding - basic</w:t>
            </w:r>
          </w:p>
        </w:tc>
        <w:tc>
          <w:tcPr>
            <w:tcW w:w="22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14,211</w:t>
            </w:r>
          </w:p>
        </w:tc>
      </w:tr>
      <w:tr>
        <w:trPr>
          <w:trHeight w:val="248"/>
        </w:trPr>
        <w:tc>
          <w:tcPr>
            <w:tcW w:w="7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Effect of dilutive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r>
      <w:tr>
        <w:trPr>
          <w:trHeight w:val="265"/>
        </w:trPr>
        <w:tc>
          <w:tcPr>
            <w:tcW w:w="74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Stock options</w:t>
            </w:r>
          </w:p>
        </w:tc>
        <w:tc>
          <w:tcPr>
            <w:tcW w:w="22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1,078</w:t>
            </w:r>
          </w:p>
        </w:tc>
      </w:tr>
      <w:tr>
        <w:trPr>
          <w:trHeight w:val="235"/>
        </w:trPr>
        <w:tc>
          <w:tcPr>
            <w:tcW w:w="7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Weighted average shares of Class A common stock outstanding -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15,289</w:t>
            </w:r>
          </w:p>
        </w:tc>
      </w:tr>
      <w:tr>
        <w:trPr>
          <w:trHeight w:val="324"/>
        </w:trPr>
        <w:tc>
          <w:tcPr>
            <w:tcW w:w="7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Earnings per share of Class A common stock - 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r>
      <w:tr>
        <w:trPr>
          <w:trHeight w:val="261"/>
        </w:trPr>
        <w:tc>
          <w:tcPr>
            <w:tcW w:w="7480" w:type="dxa"/>
            <w:vAlign w:val="bottom"/>
          </w:tcPr>
          <w:p>
            <w:pPr>
              <w:ind w:left="20"/>
              <w:spacing w:after="0"/>
              <w:rPr>
                <w:sz w:val="20"/>
                <w:szCs w:val="20"/>
                <w:color w:val="auto"/>
              </w:rPr>
            </w:pPr>
            <w:r>
              <w:rPr>
                <w:rFonts w:ascii="Arial" w:cs="Arial" w:eastAsia="Arial" w:hAnsi="Arial"/>
                <w:sz w:val="18"/>
                <w:szCs w:val="18"/>
                <w:color w:val="auto"/>
              </w:rPr>
              <w:t>Earnings per share of Class A common stock -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0.16</w:t>
            </w:r>
          </w:p>
        </w:tc>
      </w:tr>
    </w:tbl>
    <w:p>
      <w:pPr>
        <w:spacing w:after="0" w:line="14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following table sets forth the calculation of pro forma basic EPS based on pro forma net income attributable to GSHD for the three months ended March 31, 2018, divided by the pro forma basic weighted average number of Class A common stock as of March 31, 2018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amounts</w:t>
      </w:r>
      <w:r>
        <w:rPr>
          <w:rFonts w:ascii="Arial" w:cs="Arial" w:eastAsia="Arial" w:hAnsi="Arial"/>
          <w:sz w:val="18"/>
          <w:szCs w:val="18"/>
          <w:color w:val="auto"/>
        </w:rPr>
        <w:t>). Pro forma diluted earnings per share of Class A common stock is computed by dividing pro forma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attributable to GSHD by the pro forma weighted average number of shares of Class A common stock outstanding adjusted to give effect to pro forma potentially dilutive securities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242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Three Months Ended March</w:t>
            </w:r>
          </w:p>
        </w:tc>
      </w:tr>
      <w:tr>
        <w:trPr>
          <w:trHeight w:val="254"/>
        </w:trPr>
        <w:tc>
          <w:tcPr>
            <w:tcW w:w="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31, 2018</w:t>
            </w: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Numerator:</w:t>
            </w:r>
          </w:p>
        </w:tc>
        <w:tc>
          <w:tcPr>
            <w:tcW w:w="4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65"/>
        </w:trPr>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3,768</w:t>
            </w:r>
          </w:p>
        </w:tc>
      </w:tr>
      <w:tr>
        <w:trPr>
          <w:trHeight w:val="275"/>
        </w:trPr>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Less: pro forma net income attributable to non-controlling interests</w:t>
            </w:r>
          </w:p>
        </w:tc>
        <w:tc>
          <w:tcPr>
            <w:tcW w:w="48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2,362</w:t>
            </w:r>
          </w:p>
        </w:tc>
      </w:tr>
      <w:tr>
        <w:trPr>
          <w:trHeight w:val="245"/>
        </w:trPr>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Pro forma income before taxes attributable to GSHD</w:t>
            </w:r>
          </w:p>
        </w:tc>
        <w:tc>
          <w:tcPr>
            <w:tcW w:w="48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1,406</w:t>
            </w: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Less: pro forma income tax expense</w:t>
            </w:r>
          </w:p>
        </w:tc>
        <w:tc>
          <w:tcPr>
            <w:tcW w:w="48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45"/>
        </w:trPr>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 forma net income attributable to GSHD</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1,070</w:t>
            </w: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Denominator:</w:t>
            </w:r>
          </w:p>
        </w:tc>
        <w:tc>
          <w:tcPr>
            <w:tcW w:w="4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65"/>
        </w:trPr>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 forma weighted average shares of Class A common stock outstanding - basic</w:t>
            </w:r>
          </w:p>
        </w:tc>
        <w:tc>
          <w:tcPr>
            <w:tcW w:w="4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13,533</w:t>
            </w: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Pro forma effect of dilutive securities:</w:t>
            </w:r>
          </w:p>
        </w:tc>
        <w:tc>
          <w:tcPr>
            <w:tcW w:w="4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65"/>
        </w:trPr>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 forma stock options</w:t>
            </w:r>
          </w:p>
        </w:tc>
        <w:tc>
          <w:tcPr>
            <w:tcW w:w="4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35"/>
        </w:trPr>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Pro forma weighted average shares of Class A common stock outstanding - diluted</w:t>
            </w:r>
          </w:p>
        </w:tc>
        <w:tc>
          <w:tcPr>
            <w:tcW w:w="4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13,533</w:t>
            </w:r>
          </w:p>
        </w:tc>
      </w:tr>
      <w:tr>
        <w:trPr>
          <w:trHeight w:val="324"/>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Pro forma earnings per share of Class A common stock - basic</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r>
      <w:tr>
        <w:trPr>
          <w:trHeight w:val="261"/>
        </w:trPr>
        <w:tc>
          <w:tcPr>
            <w:tcW w:w="40" w:type="dxa"/>
            <w:vAlign w:val="bottom"/>
          </w:tcPr>
          <w:p>
            <w:pPr>
              <w:spacing w:after="0"/>
              <w:rPr>
                <w:sz w:val="22"/>
                <w:szCs w:val="22"/>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Pro forma earnings per share of Class A common stock - diluted</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0.08</w:t>
            </w: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Equity-Based Compensation</w:t>
      </w:r>
    </w:p>
    <w:p>
      <w:pPr>
        <w:spacing w:after="0" w:line="220"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 xml:space="preserve">A summary of equity-based compensation expense during the three months ended March 31, 2019 and March 31, 2018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ectPr>
          <w:pgSz w:w="11900" w:h="16838" w:orient="portrait"/>
          <w:cols w:equalWidth="0" w:num="1">
            <w:col w:w="11320"/>
          </w:cols>
          <w:pgMar w:left="240" w:top="267" w:right="339" w:bottom="1440" w:gutter="0" w:footer="0" w:header="0"/>
        </w:sectPr>
      </w:pP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320"/>
          </w:cols>
          <w:pgMar w:left="240" w:top="267" w:right="339" w:bottom="144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71" w:lineRule="exact"/>
        <w:rPr>
          <w:sz w:val="20"/>
          <w:szCs w:val="20"/>
          <w:color w:val="auto"/>
        </w:rPr>
      </w:pPr>
    </w:p>
    <w:p>
      <w:pPr>
        <w:ind w:left="40" w:right="4220"/>
        <w:spacing w:after="0" w:line="301"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200" w:lineRule="exact"/>
        <w:rPr>
          <w:sz w:val="20"/>
          <w:szCs w:val="20"/>
          <w:color w:val="auto"/>
        </w:rPr>
      </w:pPr>
    </w:p>
    <w:p>
      <w:pPr>
        <w:spacing w:after="0" w:line="338" w:lineRule="exact"/>
        <w:rPr>
          <w:sz w:val="20"/>
          <w:szCs w:val="20"/>
          <w:color w:val="auto"/>
        </w:rPr>
      </w:pPr>
    </w:p>
    <w:tbl>
      <w:tblPr>
        <w:tblLayout w:type="fixed"/>
        <w:tblInd w:w="1800" w:type="dxa"/>
        <w:tblCellMar>
          <w:top w:w="0" w:type="dxa"/>
          <w:left w:w="0" w:type="dxa"/>
          <w:bottom w:w="0" w:type="dxa"/>
          <w:right w:w="0" w:type="dxa"/>
        </w:tblCellMar>
      </w:tblPr>
      <w:tr>
        <w:trPr>
          <w:trHeight w:val="254"/>
        </w:trPr>
        <w:tc>
          <w:tcPr>
            <w:tcW w:w="5080" w:type="dxa"/>
            <w:vAlign w:val="bottom"/>
          </w:tcPr>
          <w:p>
            <w:pPr>
              <w:spacing w:after="0"/>
              <w:rPr>
                <w:sz w:val="22"/>
                <w:szCs w:val="22"/>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r>
      <w:tr>
        <w:trPr>
          <w:trHeight w:val="250"/>
        </w:trPr>
        <w:tc>
          <w:tcPr>
            <w:tcW w:w="50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4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55"/>
        </w:trPr>
        <w:tc>
          <w:tcPr>
            <w:tcW w:w="5080" w:type="dxa"/>
            <w:vAlign w:val="bottom"/>
          </w:tcPr>
          <w:p>
            <w:pPr>
              <w:ind w:left="160"/>
              <w:spacing w:after="0"/>
              <w:rPr>
                <w:sz w:val="20"/>
                <w:szCs w:val="20"/>
                <w:color w:val="auto"/>
              </w:rPr>
            </w:pPr>
            <w:r>
              <w:rPr>
                <w:rFonts w:ascii="Arial" w:cs="Arial" w:eastAsia="Arial" w:hAnsi="Arial"/>
                <w:sz w:val="18"/>
                <w:szCs w:val="18"/>
                <w:color w:val="auto"/>
              </w:rPr>
              <w:t>Equity-based compensation expense</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0"/>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Dividends</w:t>
      </w:r>
    </w:p>
    <w:p>
      <w:pPr>
        <w:spacing w:after="0" w:line="112"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 xml:space="preserve">On March 7, 2019, GF approved a $15.0 million extraordinary dividend to all holders of LLC Units, including GSHD. The board of directors of the Company then declared an extraordinary dividend of $0.41 (rounded) to all holders of Class A common stock of GSHD with a record date of March 18, 2019, paid on or before April 1, 2019. A summary of the total amounts declared by GF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8"/>
                <w:szCs w:val="18"/>
                <w:b w:val="1"/>
                <w:bCs w:val="1"/>
                <w:color w:val="auto"/>
              </w:rPr>
              <w:t>LLC Units held as of</w:t>
            </w:r>
          </w:p>
        </w:tc>
        <w:tc>
          <w:tcPr>
            <w:tcW w:w="36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54"/>
        </w:trPr>
        <w:tc>
          <w:tcPr>
            <w:tcW w:w="6840" w:type="dxa"/>
            <w:vAlign w:val="bottom"/>
            <w:tcBorders>
              <w:bottom w:val="single" w:sz="8" w:color="CCEEFF"/>
            </w:tcBorders>
          </w:tcPr>
          <w:p>
            <w:pPr>
              <w:spacing w:after="0"/>
              <w:rPr>
                <w:sz w:val="22"/>
                <w:szCs w:val="22"/>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18, 2019</w:t>
            </w:r>
          </w:p>
        </w:tc>
        <w:tc>
          <w:tcPr>
            <w:tcW w:w="3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Dividends declared</w:t>
            </w:r>
          </w:p>
        </w:tc>
      </w:tr>
      <w:tr>
        <w:trPr>
          <w:trHeight w:val="251"/>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stockholders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5,962</w:t>
            </w:r>
          </w:p>
        </w:tc>
      </w:tr>
      <w:tr>
        <w:trPr>
          <w:trHeight w:val="265"/>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Class B common stockholders via LLC Units held</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21,864</w:t>
            </w:r>
          </w:p>
        </w:tc>
        <w:tc>
          <w:tcPr>
            <w:tcW w:w="36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9,038</w:t>
            </w:r>
          </w:p>
        </w:tc>
      </w:tr>
      <w:tr>
        <w:trPr>
          <w:trHeight w:val="255"/>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36,285</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bl>
    <w:p>
      <w:pPr>
        <w:spacing w:after="0" w:line="8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order to facilitate the payment of dividends to Class A shareholders, the Company engages a transfer agent to maintain and distribute the funds. Amounts due to Class A shareholders are typically paid to the transfer agent one business day prior to distribution. In connection with the dividend described above, the Company paid $6.0 million to the transfer agent, but the dividend had not yet been distributed to Class A shareholders. These funds are included on the consolidated and condensed balance as Dividends held by transfer agent.</w:t>
      </w:r>
    </w:p>
    <w:p>
      <w:pPr>
        <w:spacing w:after="0" w:line="6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Any future extraordinary dividends will be declared at the sole discretion of GF's managing members with respect to GF and the Company's board of directors with respect to GSHD. In determining whether a future extraordinary dividend will be declared by the Company, the board of directors may, at its sole discretion, consider the following: the Company's financial condition and operating results, the Company's available cash and current and anticipated cash needs, the Company's capital requirements, any contractual, legal, tax and regulatory restrictions, general economic and business conditions, and such other factors or conditions as the board of directors deems relevant.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Segment Information</w:t>
      </w:r>
    </w:p>
    <w:p>
      <w:pPr>
        <w:spacing w:after="0" w:line="1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two reportable segments: Corporate Channel and Franchise Channel. The Corporate Channel consists of company-owned and financed operations with employees who are hired, trained, and managed by Goosehead. The Franchise Channel network consists of franchisee operations that are owned and managed by individual business owners. These business owners have a contractual relationship with Goosehead to use the Company's processes, systems, and back-office support team to sell insurance and manage their business. In exchange, Goosehead is entitled to an initial franchise fee and ongoing royalty fees. Allocations of contingent commissions and certain operating expenses are based on reasonable assumptions and estimates primarily using revenue, headcount and other information. The Company’s chief operating decision maker uses net income before interest, income taxes, depreciation and amortization, adjusted to exclude equity-based compensation and other non-operating items, including, among other things, certain non-cash charges and certain non-recurring or non-operating gains or losses (“Adjusted EBITDA”) as a performance measure to manage resources and make decisions about the business. Summarized financial information concerning the Company’s reportable segments is shown in the following tables (in thousands). There are no intersegment sales, only interest income and interest expense related to an intersegment line of credit, all of which eliminate in consolidation. The “Other” column includes any income and expenses not allocated to reportable segments and corporate-related items, including equity-based compensation, certain legal expenses and interest related to the note payable.</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67" w:right="259" w:bottom="1440" w:gutter="0" w:footer="0" w:header="0"/>
        </w:sectPr>
      </w:pPr>
    </w:p>
    <w:bookmarkStart w:id="20" w:name="page21"/>
    <w:bookmarkEnd w:id="20"/>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71" w:lineRule="exact"/>
        <w:rPr>
          <w:sz w:val="20"/>
          <w:szCs w:val="20"/>
          <w:color w:val="auto"/>
        </w:rPr>
      </w:pPr>
    </w:p>
    <w:p>
      <w:pPr>
        <w:ind w:left="40" w:right="4240"/>
        <w:spacing w:after="0" w:line="301"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Corporate</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Franchise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6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Channel</w:t>
            </w:r>
          </w:p>
        </w:tc>
        <w:tc>
          <w:tcPr>
            <w:tcW w:w="160" w:type="dxa"/>
            <w:vAlign w:val="bottom"/>
          </w:tcPr>
          <w:p>
            <w:pPr>
              <w:spacing w:after="0"/>
              <w:rPr>
                <w:sz w:val="22"/>
                <w:szCs w:val="22"/>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Channel</w:t>
            </w:r>
          </w:p>
        </w:tc>
        <w:tc>
          <w:tcPr>
            <w:tcW w:w="260" w:type="dxa"/>
            <w:vAlign w:val="bottom"/>
          </w:tcPr>
          <w:p>
            <w:pPr>
              <w:spacing w:after="0"/>
              <w:rPr>
                <w:sz w:val="22"/>
                <w:szCs w:val="22"/>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w:t>
            </w:r>
          </w:p>
        </w:tc>
        <w:tc>
          <w:tcPr>
            <w:tcW w:w="260" w:type="dxa"/>
            <w:vAlign w:val="bottom"/>
          </w:tcPr>
          <w:p>
            <w:pPr>
              <w:spacing w:after="0"/>
              <w:rPr>
                <w:sz w:val="22"/>
                <w:szCs w:val="22"/>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4"/>
        </w:trPr>
        <w:tc>
          <w:tcPr>
            <w:tcW w:w="6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2019:</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020" w:type="dxa"/>
            <w:vAlign w:val="bottom"/>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Commissions and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11,955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65"/>
        </w:trPr>
        <w:tc>
          <w:tcPr>
            <w:tcW w:w="6020" w:type="dxa"/>
            <w:vAlign w:val="bottom"/>
          </w:tcPr>
          <w:p>
            <w:pPr>
              <w:ind w:left="180"/>
              <w:spacing w:after="0"/>
              <w:rPr>
                <w:sz w:val="20"/>
                <w:szCs w:val="20"/>
                <w:color w:val="auto"/>
              </w:rPr>
            </w:pPr>
            <w:r>
              <w:rPr>
                <w:rFonts w:ascii="Arial" w:cs="Arial" w:eastAsia="Arial" w:hAnsi="Arial"/>
                <w:sz w:val="18"/>
                <w:szCs w:val="18"/>
                <w:color w:val="auto"/>
              </w:rPr>
              <w:t>Franchise revenues</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6,828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6,828</w:t>
            </w:r>
          </w:p>
        </w:tc>
        <w:tc>
          <w:tcPr>
            <w:tcW w:w="0" w:type="dxa"/>
            <w:vAlign w:val="bottom"/>
          </w:tcPr>
          <w:p>
            <w:pPr>
              <w:spacing w:after="0"/>
              <w:rPr>
                <w:sz w:val="1"/>
                <w:szCs w:val="1"/>
                <w:color w:val="auto"/>
              </w:rPr>
            </w:pPr>
          </w:p>
        </w:tc>
      </w:tr>
      <w:tr>
        <w:trPr>
          <w:trHeight w:val="275"/>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5"/>
        </w:trPr>
        <w:tc>
          <w:tcPr>
            <w:tcW w:w="6020" w:type="dxa"/>
            <w:vAlign w:val="bottom"/>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11,955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23,133</w:t>
            </w:r>
          </w:p>
        </w:tc>
        <w:tc>
          <w:tcPr>
            <w:tcW w:w="0" w:type="dxa"/>
            <w:vAlign w:val="bottom"/>
          </w:tcPr>
          <w:p>
            <w:pPr>
              <w:spacing w:after="0"/>
              <w:rPr>
                <w:sz w:val="1"/>
                <w:szCs w:val="1"/>
                <w:color w:val="auto"/>
              </w:rPr>
            </w:pPr>
          </w:p>
        </w:tc>
      </w:tr>
      <w:tr>
        <w:trPr>
          <w:trHeight w:val="255"/>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180"/>
              <w:spacing w:after="0"/>
              <w:rPr>
                <w:sz w:val="20"/>
                <w:szCs w:val="20"/>
                <w:color w:val="auto"/>
              </w:rPr>
            </w:pPr>
            <w:r>
              <w:rPr>
                <w:rFonts w:ascii="Arial" w:cs="Arial" w:eastAsia="Arial" w:hAnsi="Arial"/>
                <w:sz w:val="18"/>
                <w:szCs w:val="18"/>
                <w:color w:val="auto"/>
              </w:rPr>
              <w:t>Employee compensation and benefits, excluding equity-based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02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8,823</w:t>
            </w:r>
          </w:p>
        </w:tc>
        <w:tc>
          <w:tcPr>
            <w:tcW w:w="0" w:type="dxa"/>
            <w:vAlign w:val="bottom"/>
          </w:tcPr>
          <w:p>
            <w:pPr>
              <w:spacing w:after="0"/>
              <w:rPr>
                <w:sz w:val="1"/>
                <w:szCs w:val="1"/>
                <w:color w:val="auto"/>
              </w:rPr>
            </w:pPr>
          </w:p>
        </w:tc>
      </w:tr>
      <w:tr>
        <w:trPr>
          <w:trHeight w:val="275"/>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65"/>
        </w:trPr>
        <w:tc>
          <w:tcPr>
            <w:tcW w:w="6020" w:type="dxa"/>
            <w:vAlign w:val="bottom"/>
          </w:tcPr>
          <w:p>
            <w:pPr>
              <w:ind w:left="180"/>
              <w:spacing w:after="0"/>
              <w:rPr>
                <w:sz w:val="20"/>
                <w:szCs w:val="20"/>
                <w:color w:val="auto"/>
              </w:rPr>
            </w:pPr>
            <w:r>
              <w:rPr>
                <w:rFonts w:ascii="Arial" w:cs="Arial" w:eastAsia="Arial" w:hAnsi="Arial"/>
                <w:sz w:val="18"/>
                <w:szCs w:val="18"/>
                <w:color w:val="auto"/>
              </w:rPr>
              <w:t>Bad debts</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55"/>
        </w:trPr>
        <w:tc>
          <w:tcPr>
            <w:tcW w:w="60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5,547</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13,654</w:t>
            </w:r>
          </w:p>
        </w:tc>
        <w:tc>
          <w:tcPr>
            <w:tcW w:w="0" w:type="dxa"/>
            <w:vAlign w:val="bottom"/>
          </w:tcPr>
          <w:p>
            <w:pPr>
              <w:spacing w:after="0"/>
              <w:rPr>
                <w:sz w:val="1"/>
                <w:szCs w:val="1"/>
                <w:color w:val="auto"/>
              </w:rPr>
            </w:pPr>
          </w:p>
        </w:tc>
      </w:tr>
      <w:tr>
        <w:trPr>
          <w:trHeight w:val="245"/>
        </w:trPr>
        <w:tc>
          <w:tcPr>
            <w:tcW w:w="602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9,479</w:t>
            </w:r>
          </w:p>
        </w:tc>
        <w:tc>
          <w:tcPr>
            <w:tcW w:w="0" w:type="dxa"/>
            <w:vAlign w:val="bottom"/>
          </w:tcPr>
          <w:p>
            <w:pPr>
              <w:spacing w:after="0"/>
              <w:rPr>
                <w:sz w:val="1"/>
                <w:szCs w:val="1"/>
                <w:color w:val="auto"/>
              </w:rPr>
            </w:pP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Equity-based compensation</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5"/>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65"/>
        </w:trPr>
        <w:tc>
          <w:tcPr>
            <w:tcW w:w="6020" w:type="dxa"/>
            <w:vAlign w:val="bottom"/>
          </w:tcPr>
          <w:p>
            <w:pPr>
              <w:ind w:left="4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50"/>
        </w:trPr>
        <w:tc>
          <w:tcPr>
            <w:tcW w:w="60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7,318</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40"/>
              <w:spacing w:after="0"/>
              <w:rPr>
                <w:sz w:val="20"/>
                <w:szCs w:val="20"/>
                <w:color w:val="auto"/>
              </w:rPr>
            </w:pPr>
            <w:r>
              <w:rPr>
                <w:rFonts w:ascii="Arial" w:cs="Arial" w:eastAsia="Arial" w:hAnsi="Arial"/>
                <w:sz w:val="18"/>
                <w:szCs w:val="18"/>
                <w:color w:val="auto"/>
              </w:rPr>
              <w:t>At March 31, 2019:</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0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6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7,083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16,054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25,265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48,402</w:t>
            </w:r>
          </w:p>
        </w:tc>
        <w:tc>
          <w:tcPr>
            <w:tcW w:w="0" w:type="dxa"/>
            <w:vAlign w:val="bottom"/>
          </w:tcPr>
          <w:p>
            <w:pPr>
              <w:spacing w:after="0"/>
              <w:rPr>
                <w:sz w:val="1"/>
                <w:szCs w:val="1"/>
                <w:color w:val="auto"/>
              </w:rPr>
            </w:pPr>
          </w:p>
        </w:tc>
      </w:tr>
    </w:tbl>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Franchise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Channel</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Channel</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Other</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4"/>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2018:</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02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Commissions and fees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7,856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65"/>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Franchise revenues</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4,910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75"/>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5"/>
        </w:trPr>
        <w:tc>
          <w:tcPr>
            <w:tcW w:w="60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14,589</w:t>
            </w:r>
          </w:p>
        </w:tc>
        <w:tc>
          <w:tcPr>
            <w:tcW w:w="0" w:type="dxa"/>
            <w:vAlign w:val="bottom"/>
          </w:tcPr>
          <w:p>
            <w:pPr>
              <w:spacing w:after="0"/>
              <w:rPr>
                <w:sz w:val="1"/>
                <w:szCs w:val="1"/>
                <w:color w:val="auto"/>
              </w:rPr>
            </w:pPr>
          </w:p>
        </w:tc>
      </w:tr>
      <w:tr>
        <w:trPr>
          <w:trHeight w:val="255"/>
        </w:trPr>
        <w:tc>
          <w:tcPr>
            <w:tcW w:w="6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Employee compensation and benefits, excluding equity-based</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6,835</w:t>
            </w:r>
          </w:p>
        </w:tc>
        <w:tc>
          <w:tcPr>
            <w:tcW w:w="0" w:type="dxa"/>
            <w:vAlign w:val="bottom"/>
          </w:tcPr>
          <w:p>
            <w:pPr>
              <w:spacing w:after="0"/>
              <w:rPr>
                <w:sz w:val="1"/>
                <w:szCs w:val="1"/>
                <w:color w:val="auto"/>
              </w:rPr>
            </w:pPr>
          </w:p>
        </w:tc>
      </w:tr>
      <w:tr>
        <w:trPr>
          <w:trHeight w:val="275"/>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65"/>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Bad debts</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55"/>
        </w:trPr>
        <w:tc>
          <w:tcPr>
            <w:tcW w:w="6020" w:type="dxa"/>
            <w:vAlign w:val="bottom"/>
            <w:tcBorders>
              <w:top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5,879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3,609</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45"/>
        </w:trPr>
        <w:tc>
          <w:tcPr>
            <w:tcW w:w="6020" w:type="dxa"/>
            <w:vAlign w:val="bottom"/>
            <w:gridSpan w:val="2"/>
          </w:tcPr>
          <w:p>
            <w:pPr>
              <w:ind w:left="380"/>
              <w:spacing w:after="0"/>
              <w:rPr>
                <w:sz w:val="20"/>
                <w:szCs w:val="20"/>
                <w:color w:val="auto"/>
              </w:rPr>
            </w:pPr>
            <w:r>
              <w:rPr>
                <w:rFonts w:ascii="Arial" w:cs="Arial" w:eastAsia="Arial" w:hAnsi="Arial"/>
                <w:sz w:val="18"/>
                <w:szCs w:val="18"/>
                <w:color w:val="auto"/>
              </w:rPr>
              <w:t>Adjusted EBITDA</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275"/>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65"/>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50"/>
        </w:trPr>
        <w:tc>
          <w:tcPr>
            <w:tcW w:w="6020" w:type="dxa"/>
            <w:vAlign w:val="bottom"/>
            <w:tcBorders>
              <w:top w:val="single" w:sz="8" w:color="CCEEFF"/>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3,768</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ind w:left="40"/>
              <w:spacing w:after="0"/>
              <w:rPr>
                <w:sz w:val="20"/>
                <w:szCs w:val="20"/>
                <w:color w:val="auto"/>
              </w:rPr>
            </w:pPr>
            <w:r>
              <w:rPr>
                <w:rFonts w:ascii="Arial" w:cs="Arial" w:eastAsia="Arial" w:hAnsi="Arial"/>
                <w:sz w:val="18"/>
                <w:szCs w:val="18"/>
                <w:color w:val="auto"/>
              </w:rPr>
              <w:t>At March 31, 2018:</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5,993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18,397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34,798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67"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67" w:right="239" w:bottom="1440" w:gutter="0" w:footer="0" w:header="0"/>
          <w:type w:val="continuous"/>
        </w:sectPr>
      </w:pPr>
    </w:p>
    <w:bookmarkStart w:id="21" w:name="page22"/>
    <w:bookmarkEnd w:id="21"/>
    <w:p>
      <w:pPr>
        <w:ind w:left="40"/>
        <w:spacing w:after="0"/>
        <w:rPr>
          <w:sz w:val="20"/>
          <w:szCs w:val="20"/>
          <w:color w:val="auto"/>
        </w:rPr>
      </w:pPr>
      <w:r>
        <w:rPr>
          <w:rFonts w:ascii="Arial" w:cs="Arial" w:eastAsia="Arial" w:hAnsi="Arial"/>
          <w:sz w:val="25"/>
          <w:szCs w:val="25"/>
          <w:b w:val="1"/>
          <w:bCs w:val="1"/>
          <w:color w:val="auto"/>
        </w:rPr>
        <w:t>Goosehead Insurance, Inc.</w:t>
      </w:r>
    </w:p>
    <w:p>
      <w:pPr>
        <w:spacing w:after="0" w:line="71" w:lineRule="exact"/>
        <w:rPr>
          <w:sz w:val="20"/>
          <w:szCs w:val="20"/>
          <w:color w:val="auto"/>
        </w:rPr>
      </w:pPr>
    </w:p>
    <w:p>
      <w:pPr>
        <w:ind w:left="40" w:right="4220"/>
        <w:spacing w:after="0" w:line="301" w:lineRule="auto"/>
        <w:rPr>
          <w:sz w:val="20"/>
          <w:szCs w:val="20"/>
          <w:color w:val="auto"/>
        </w:rPr>
      </w:pPr>
      <w:r>
        <w:rPr>
          <w:rFonts w:ascii="Arial" w:cs="Arial" w:eastAsia="Arial" w:hAnsi="Arial"/>
          <w:sz w:val="25"/>
          <w:szCs w:val="25"/>
          <w:b w:val="1"/>
          <w:bCs w:val="1"/>
          <w:color w:val="auto"/>
        </w:rPr>
        <w:t>Notes to the Condensed Consolidated Financial Statements (Unaudited)</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Litigation</w:t>
      </w:r>
    </w:p>
    <w:p>
      <w:pPr>
        <w:spacing w:after="0" w:line="11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From time to time, GSHD may be involved in various legal proceedings, lawsuits and claims incidental to the conduct of the Company's business. The amount of any loss from the ultimate outcomes is not probable or reasonably estimable. It is the opinion of management that the resolution of outstanding claims will not have a material adverse effect on the financial position or results of operations of the Company.</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elsewhere in this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the Annual Report on Form 10-K.</w:t>
      </w:r>
    </w:p>
    <w:p>
      <w:pPr>
        <w:spacing w:after="0" w:line="6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are a rapidly growing personal lines independent insurance agency, reinventing the traditional approach to distributing personal lines products and services throughout the United States. We were founded with one vision in mind—to provide consumers with superior insurance coverage at the best available price and in a timely manner. By leveraging our differentiated business model and innovative technology platform, we are able to deliver to consumers a superior insurance experience. Our management team continues to own approximately 69% of the company, representing our commitment to the long-term success of the Company.</w:t>
      </w:r>
    </w:p>
    <w:p>
      <w:pPr>
        <w:spacing w:after="0" w:line="6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following discussion contains references to periods prior to The Offering, including January through April 2018, which represents the consolidated and combined financial results of our predecessor Goosehead Financial, LLC and its subsidiaries Texas Wasatch Insurance Services, LP, Goosehead Insurance Agency, LLC and its affiliates Goosehead Management, LLC and Texas Wasatch Insurance Holdings Group,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 for the First Quarter of 2019:</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increased 59% from the first quarter of 2018 to $23.1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Commissions and Agency fee revenues increased 69% from the first quarter of 2018 to $16.2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Franchise revenues increased 39% from the first quarter of 2018 to $6.8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increased by 94% from the first quarter of 2018 to $7.3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 non-GAAP measure, increased 86% from the first quarter of 2018 to $9.5 million, or 41% of total revenues</w:t>
      </w:r>
    </w:p>
    <w:p>
      <w:pPr>
        <w:spacing w:after="0" w:line="117" w:lineRule="exact"/>
        <w:rPr>
          <w:rFonts w:ascii="Arial" w:cs="Arial" w:eastAsia="Arial" w:hAnsi="Arial"/>
          <w:sz w:val="18"/>
          <w:szCs w:val="18"/>
          <w:color w:val="auto"/>
        </w:rPr>
      </w:pPr>
    </w:p>
    <w:p>
      <w:pPr>
        <w:ind w:left="660" w:right="500" w:hanging="328"/>
        <w:spacing w:after="0" w:line="29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Channel Adjusted EBITDA increased 140% from the first quarter of 2018 to $4.7 million, or 40% of Corporate Channel revenues</w:t>
      </w:r>
    </w:p>
    <w:p>
      <w:pPr>
        <w:spacing w:after="0" w:line="36" w:lineRule="exact"/>
        <w:rPr>
          <w:rFonts w:ascii="Arial" w:cs="Arial" w:eastAsia="Arial" w:hAnsi="Arial"/>
          <w:sz w:val="18"/>
          <w:szCs w:val="18"/>
          <w:color w:val="auto"/>
        </w:rPr>
      </w:pPr>
    </w:p>
    <w:p>
      <w:pPr>
        <w:ind w:left="660" w:right="660" w:hanging="328"/>
        <w:spacing w:after="0" w:line="29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Franchise Channel Adjusted EBITDA increased 80% from the first quarter of 2018 to $5.6 million, or 50% of Franchise channel revenues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Basic earnings per share was $0.17 and Adjusted EPS*, a non-GAAP measure, was $0.18 for the three months ended March 31,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Written Premiums placed increased 45% from the prior-year period to $147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Policies in Force increased 45% from March 31, 2018 to 365 thousand at March 31,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sales headcount increased 52% from March 31, 2018 to 184 at March 31, 2019</w:t>
      </w:r>
    </w:p>
    <w:p>
      <w:pPr>
        <w:spacing w:after="0" w:line="117" w:lineRule="exact"/>
        <w:rPr>
          <w:rFonts w:ascii="Arial" w:cs="Arial" w:eastAsia="Arial" w:hAnsi="Arial"/>
          <w:sz w:val="18"/>
          <w:szCs w:val="18"/>
          <w:color w:val="auto"/>
        </w:rPr>
      </w:pPr>
    </w:p>
    <w:p>
      <w:pPr>
        <w:ind w:left="1300" w:right="20" w:hanging="320"/>
        <w:spacing w:after="0" w:line="292"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of March 31, 2019, 103 of these Corporate sales agents had less than one year of tenure and 81 had greater than one year of tenure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67" w:right="259" w:bottom="1440" w:gutter="0" w:footer="0" w:header="0"/>
        </w:sectPr>
      </w:pPr>
    </w:p>
    <w:bookmarkStart w:id="22" w:name="page23"/>
    <w:bookmarkEnd w:id="22"/>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franchises increased 47% from March 31, 2018 to 501 at March 31, 2019</w:t>
      </w:r>
    </w:p>
    <w:p>
      <w:pPr>
        <w:spacing w:after="0" w:line="225" w:lineRule="exact"/>
        <w:rPr>
          <w:rFonts w:ascii="Arial" w:cs="Arial" w:eastAsia="Arial" w:hAnsi="Arial"/>
          <w:sz w:val="18"/>
          <w:szCs w:val="18"/>
          <w:color w:val="auto"/>
        </w:rPr>
      </w:pPr>
    </w:p>
    <w:p>
      <w:pPr>
        <w:ind w:left="1300" w:right="180" w:hanging="320"/>
        <w:spacing w:after="0" w:line="292"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Texas as of March 31, 2019, 29 operating franchisees had less than one year of tenure and 175 operating franchisees had greater than one year of tenure.</w:t>
      </w:r>
    </w:p>
    <w:p>
      <w:pPr>
        <w:spacing w:after="0" w:line="36" w:lineRule="exact"/>
        <w:rPr>
          <w:rFonts w:ascii="Arial" w:cs="Arial" w:eastAsia="Arial" w:hAnsi="Arial"/>
          <w:sz w:val="18"/>
          <w:szCs w:val="18"/>
          <w:color w:val="auto"/>
        </w:rPr>
      </w:pPr>
    </w:p>
    <w:p>
      <w:pPr>
        <w:ind w:left="1300" w:right="180" w:hanging="320"/>
        <w:spacing w:after="0" w:line="292"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Outside of Texas as of March 31, 2019, 178 operating franchisees had less than one year of tenure and 119 had greater than one year of tenure.</w:t>
      </w:r>
    </w:p>
    <w:p>
      <w:pPr>
        <w:spacing w:after="0" w:line="37"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*Adjusted EBITDA and Adjusted EPS are non-GAAP measures. Reconciliation of Adjusted EBITDA to net income and Adjusted EPS to EPS, the most directly comparable financial measures presented in accordance with GAAP, are set forth in the "Key performance indicators" section of Management’s discussion and analysis of financial condition and results of operations of this Form 10-Q.</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consolidated results of operations for each of the three months ended March 31, 2019 and March 31, 2018.</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This information is derived from our accompanying consolidated financial statements prepared in accordance with GAAP.</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our results of operations for the three months ended March 31, 2019 and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8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426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8"/>
                <w:szCs w:val="18"/>
                <w:b w:val="1"/>
                <w:bCs w:val="1"/>
                <w:color w:val="auto"/>
              </w:rPr>
              <w:t>Three Months Ended March 31</w:t>
            </w:r>
          </w:p>
        </w:tc>
        <w:tc>
          <w:tcPr>
            <w:tcW w:w="820" w:type="dxa"/>
            <w:vAlign w:val="bottom"/>
            <w:tcBorders>
              <w:bottom w:val="single" w:sz="8" w:color="auto"/>
            </w:tcBorders>
          </w:tcPr>
          <w:p>
            <w:pPr>
              <w:spacing w:after="0"/>
              <w:rPr>
                <w:sz w:val="22"/>
                <w:szCs w:val="22"/>
                <w:color w:val="auto"/>
              </w:rPr>
            </w:pPr>
          </w:p>
        </w:tc>
      </w:tr>
      <w:tr>
        <w:trPr>
          <w:trHeight w:val="250"/>
        </w:trPr>
        <w:tc>
          <w:tcPr>
            <w:tcW w:w="58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2019</w:t>
            </w: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2018</w:t>
            </w:r>
          </w:p>
        </w:tc>
        <w:tc>
          <w:tcPr>
            <w:tcW w:w="820" w:type="dxa"/>
            <w:vAlign w:val="bottom"/>
            <w:tcBorders>
              <w:bottom w:val="single" w:sz="8" w:color="auto"/>
            </w:tcBorders>
          </w:tcPr>
          <w:p>
            <w:pPr>
              <w:spacing w:after="0"/>
              <w:rPr>
                <w:sz w:val="21"/>
                <w:szCs w:val="21"/>
                <w:color w:val="auto"/>
              </w:rPr>
            </w:pPr>
          </w:p>
        </w:tc>
      </w:tr>
      <w:tr>
        <w:trPr>
          <w:trHeight w:val="251"/>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52"/>
        </w:trPr>
        <w:tc>
          <w:tcPr>
            <w:tcW w:w="5820" w:type="dxa"/>
            <w:vAlign w:val="bottom"/>
          </w:tcPr>
          <w:p>
            <w:pPr>
              <w:ind w:left="180"/>
              <w:spacing w:after="0"/>
              <w:rPr>
                <w:sz w:val="20"/>
                <w:szCs w:val="20"/>
                <w:color w:val="auto"/>
              </w:rPr>
            </w:pPr>
            <w:r>
              <w:rPr>
                <w:rFonts w:ascii="Arial" w:cs="Arial" w:eastAsia="Arial" w:hAnsi="Arial"/>
                <w:sz w:val="18"/>
                <w:szCs w:val="18"/>
                <w:color w:val="auto"/>
              </w:rPr>
              <w:t>Commissions and agency fees</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16,170</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9,596</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61"/>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Franchise revenues</w:t>
            </w: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6,828</w:t>
            </w: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4,910</w:t>
            </w: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2"/>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income</w:t>
            </w: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55"/>
        </w:trPr>
        <w:tc>
          <w:tcPr>
            <w:tcW w:w="58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revenues</w:t>
            </w: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23,133</w:t>
            </w: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14,589</w:t>
            </w: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56"/>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5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57"/>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compensation and benefits</w:t>
            </w: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9,191</w:t>
            </w: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6,835</w:t>
            </w: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52"/>
        </w:trPr>
        <w:tc>
          <w:tcPr>
            <w:tcW w:w="582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4,430</w:t>
            </w: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2,374</w:t>
            </w: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1"/>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debts</w:t>
            </w: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2"/>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and amortization</w:t>
            </w: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423</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337</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5"/>
        </w:trPr>
        <w:tc>
          <w:tcPr>
            <w:tcW w:w="58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14,445</w:t>
            </w: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9,826</w:t>
            </w: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5"/>
        </w:trPr>
        <w:tc>
          <w:tcPr>
            <w:tcW w:w="5820" w:type="dxa"/>
            <w:vAlign w:val="bottom"/>
          </w:tcPr>
          <w:p>
            <w:pPr>
              <w:ind w:left="380"/>
              <w:spacing w:after="0"/>
              <w:rPr>
                <w:sz w:val="20"/>
                <w:szCs w:val="20"/>
                <w:color w:val="auto"/>
              </w:rPr>
            </w:pPr>
            <w:r>
              <w:rPr>
                <w:rFonts w:ascii="Arial" w:cs="Arial" w:eastAsia="Arial" w:hAnsi="Arial"/>
                <w:sz w:val="18"/>
                <w:szCs w:val="18"/>
                <w:b w:val="1"/>
                <w:bCs w:val="1"/>
                <w:color w:val="auto"/>
              </w:rPr>
              <w:t>Income from operations</w:t>
            </w:r>
          </w:p>
        </w:tc>
        <w:tc>
          <w:tcPr>
            <w:tcW w:w="5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8,688</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4,763</w:t>
            </w: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61"/>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52"/>
        </w:trPr>
        <w:tc>
          <w:tcPr>
            <w:tcW w:w="58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expense</w:t>
            </w: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3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36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r>
      <w:tr>
        <w:trPr>
          <w:trHeight w:val="255"/>
        </w:trPr>
        <w:tc>
          <w:tcPr>
            <w:tcW w:w="58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Income before taxes</w:t>
            </w:r>
          </w:p>
        </w:tc>
        <w:tc>
          <w:tcPr>
            <w:tcW w:w="5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8,062</w:t>
            </w: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3,768</w:t>
            </w:r>
          </w:p>
        </w:tc>
        <w:tc>
          <w:tcPr>
            <w:tcW w:w="3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45"/>
        </w:trPr>
        <w:tc>
          <w:tcPr>
            <w:tcW w:w="5820" w:type="dxa"/>
            <w:vAlign w:val="bottom"/>
          </w:tcPr>
          <w:p>
            <w:pPr>
              <w:ind w:left="180"/>
              <w:spacing w:after="0"/>
              <w:rPr>
                <w:sz w:val="20"/>
                <w:szCs w:val="20"/>
                <w:color w:val="auto"/>
              </w:rPr>
            </w:pPr>
            <w:r>
              <w:rPr>
                <w:rFonts w:ascii="Arial" w:cs="Arial" w:eastAsia="Arial" w:hAnsi="Arial"/>
                <w:sz w:val="18"/>
                <w:szCs w:val="18"/>
                <w:color w:val="auto"/>
              </w:rPr>
              <w:t>Tax expense</w:t>
            </w:r>
          </w:p>
        </w:tc>
        <w:tc>
          <w:tcPr>
            <w:tcW w:w="5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744</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r>
      <w:tr>
        <w:trPr>
          <w:trHeight w:val="255"/>
        </w:trPr>
        <w:tc>
          <w:tcPr>
            <w:tcW w:w="58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Income</w:t>
            </w:r>
          </w:p>
        </w:tc>
        <w:tc>
          <w:tcPr>
            <w:tcW w:w="52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7,318</w:t>
            </w:r>
          </w:p>
        </w:tc>
        <w:tc>
          <w:tcPr>
            <w:tcW w:w="34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3,768</w:t>
            </w:r>
          </w:p>
        </w:tc>
        <w:tc>
          <w:tcPr>
            <w:tcW w:w="36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CCEEFF"/>
            </w:tcBorders>
            <w:shd w:val="clear" w:color="auto" w:fill="CCEEFF"/>
          </w:tcPr>
          <w:p>
            <w:pPr>
              <w:spacing w:after="0"/>
              <w:rPr>
                <w:sz w:val="22"/>
                <w:szCs w:val="22"/>
                <w:color w:val="auto"/>
              </w:rPr>
            </w:pPr>
          </w:p>
        </w:tc>
      </w:tr>
      <w:tr>
        <w:trPr>
          <w:trHeight w:val="245"/>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5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4,846</w:t>
            </w:r>
          </w:p>
        </w:tc>
        <w:tc>
          <w:tcPr>
            <w:tcW w:w="3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3,768</w:t>
            </w:r>
          </w:p>
        </w:tc>
        <w:tc>
          <w:tcPr>
            <w:tcW w:w="36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r>
      <w:tr>
        <w:trPr>
          <w:trHeight w:val="250"/>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Goosehead Insurance Inc.</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2,472</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21"/>
                <w:szCs w:val="2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For the three months ended March 31, 2019, revenue increased by 59% to $23.1 million from $14.6 million for the three months ended March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Commissions and agency fees</w:t>
      </w:r>
    </w:p>
    <w:p>
      <w:pPr>
        <w:spacing w:after="0" w:line="115"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Commissions and agency fees consist of new business commissions, renewal commissions, agency fees, and contingent commissions generated from the corporate channel, as well as contingent commissions generated from the franchise channel.</w:t>
      </w:r>
    </w:p>
    <w:p>
      <w:pPr>
        <w:spacing w:after="0" w:line="37"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The following table sets forth our commissions and agency fees by amount and as a percentage of our revenues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84"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54"/>
        </w:trPr>
        <w:tc>
          <w:tcPr>
            <w:tcW w:w="516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Three Months Ended March 31</w:t>
            </w:r>
          </w:p>
        </w:tc>
        <w:tc>
          <w:tcPr>
            <w:tcW w:w="1200" w:type="dxa"/>
            <w:vAlign w:val="bottom"/>
            <w:tcBorders>
              <w:bottom w:val="single" w:sz="8" w:color="auto"/>
            </w:tcBorders>
          </w:tcPr>
          <w:p>
            <w:pPr>
              <w:spacing w:after="0"/>
              <w:rPr>
                <w:sz w:val="22"/>
                <w:szCs w:val="22"/>
                <w:color w:val="auto"/>
              </w:rPr>
            </w:pPr>
          </w:p>
        </w:tc>
      </w:tr>
      <w:tr>
        <w:trPr>
          <w:trHeight w:val="250"/>
        </w:trPr>
        <w:tc>
          <w:tcPr>
            <w:tcW w:w="516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7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New Business Revenue (Corporate)</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2,459</w:t>
            </w:r>
          </w:p>
        </w:tc>
        <w:tc>
          <w:tcPr>
            <w:tcW w:w="7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1,800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52"/>
        </w:trPr>
        <w:tc>
          <w:tcPr>
            <w:tcW w:w="5160" w:type="dxa"/>
            <w:vAlign w:val="bottom"/>
          </w:tcPr>
          <w:p>
            <w:pPr>
              <w:ind w:left="40"/>
              <w:spacing w:after="0"/>
              <w:rPr>
                <w:sz w:val="20"/>
                <w:szCs w:val="20"/>
                <w:color w:val="auto"/>
              </w:rPr>
            </w:pPr>
            <w:r>
              <w:rPr>
                <w:rFonts w:ascii="Arial" w:cs="Arial" w:eastAsia="Arial" w:hAnsi="Arial"/>
                <w:sz w:val="18"/>
                <w:szCs w:val="18"/>
                <w:color w:val="auto"/>
              </w:rPr>
              <w:t>Agency Fees</w:t>
            </w:r>
          </w:p>
        </w:tc>
        <w:tc>
          <w:tcPr>
            <w:tcW w:w="5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1,437</w:t>
            </w:r>
          </w:p>
        </w:tc>
        <w:tc>
          <w:tcPr>
            <w:tcW w:w="700" w:type="dxa"/>
            <w:vAlign w:val="bottom"/>
          </w:tcPr>
          <w:p>
            <w:pPr>
              <w:spacing w:after="0"/>
              <w:rPr>
                <w:sz w:val="21"/>
                <w:szCs w:val="21"/>
                <w:color w:val="auto"/>
              </w:rPr>
            </w:pPr>
          </w:p>
        </w:tc>
        <w:tc>
          <w:tcPr>
            <w:tcW w:w="1700" w:type="dxa"/>
            <w:vAlign w:val="bottom"/>
          </w:tcPr>
          <w:p>
            <w:pPr>
              <w:jc w:val="right"/>
              <w:ind w:right="650"/>
              <w:spacing w:after="0"/>
              <w:rPr>
                <w:sz w:val="20"/>
                <w:szCs w:val="20"/>
                <w:color w:val="auto"/>
              </w:rPr>
            </w:pPr>
            <w:r>
              <w:rPr>
                <w:rFonts w:ascii="Arial" w:cs="Arial" w:eastAsia="Arial" w:hAnsi="Arial"/>
                <w:sz w:val="18"/>
                <w:szCs w:val="18"/>
                <w:color w:val="auto"/>
              </w:rPr>
              <w:t>1,099</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Renewal Revenue (Corporate)</w:t>
            </w: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4,789</w:t>
            </w:r>
          </w:p>
        </w:tc>
        <w:tc>
          <w:tcPr>
            <w:tcW w:w="7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3,903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2"/>
        </w:trPr>
        <w:tc>
          <w:tcPr>
            <w:tcW w:w="5160" w:type="dxa"/>
            <w:vAlign w:val="bottom"/>
          </w:tcPr>
          <w:p>
            <w:pPr>
              <w:ind w:left="40"/>
              <w:spacing w:after="0"/>
              <w:rPr>
                <w:sz w:val="20"/>
                <w:szCs w:val="20"/>
                <w:color w:val="auto"/>
              </w:rPr>
            </w:pPr>
            <w:r>
              <w:rPr>
                <w:rFonts w:ascii="Arial" w:cs="Arial" w:eastAsia="Arial" w:hAnsi="Arial"/>
                <w:sz w:val="18"/>
                <w:szCs w:val="18"/>
                <w:color w:val="auto"/>
              </w:rPr>
              <w:t>Contingent Commissions (Corporate)</w:t>
            </w:r>
          </w:p>
        </w:tc>
        <w:tc>
          <w:tcPr>
            <w:tcW w:w="5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3,270</w:t>
            </w:r>
          </w:p>
        </w:tc>
        <w:tc>
          <w:tcPr>
            <w:tcW w:w="700" w:type="dxa"/>
            <w:vAlign w:val="bottom"/>
          </w:tcPr>
          <w:p>
            <w:pPr>
              <w:spacing w:after="0"/>
              <w:rPr>
                <w:sz w:val="21"/>
                <w:szCs w:val="21"/>
                <w:color w:val="auto"/>
              </w:rPr>
            </w:pPr>
          </w:p>
        </w:tc>
        <w:tc>
          <w:tcPr>
            <w:tcW w:w="1700" w:type="dxa"/>
            <w:vAlign w:val="bottom"/>
          </w:tcPr>
          <w:p>
            <w:pPr>
              <w:jc w:val="right"/>
              <w:ind w:right="650"/>
              <w:spacing w:after="0"/>
              <w:rPr>
                <w:sz w:val="20"/>
                <w:szCs w:val="20"/>
                <w:color w:val="auto"/>
              </w:rPr>
            </w:pPr>
            <w:r>
              <w:rPr>
                <w:rFonts w:ascii="Arial" w:cs="Arial" w:eastAsia="Arial" w:hAnsi="Arial"/>
                <w:sz w:val="18"/>
                <w:szCs w:val="18"/>
                <w:color w:val="auto"/>
              </w:rPr>
              <w:t>1,054</w:t>
            </w:r>
          </w:p>
        </w:tc>
        <w:tc>
          <w:tcPr>
            <w:tcW w:w="12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6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Commissions (Franchise)</w:t>
            </w:r>
          </w:p>
        </w:tc>
        <w:tc>
          <w:tcPr>
            <w:tcW w:w="5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4,215</w:t>
            </w:r>
          </w:p>
        </w:tc>
        <w:tc>
          <w:tcPr>
            <w:tcW w:w="70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1,740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5"/>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Commissions and agency fees</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16,170</w:t>
            </w:r>
          </w:p>
        </w:tc>
        <w:tc>
          <w:tcPr>
            <w:tcW w:w="7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9,596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5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New Business Revenue (Corporate) increased by $ 0.7 million, or 37%, to $2.5 million for the three months ended March 31, 2019 from $ 1.8 million for the three months ended March 31, 2018. Revenue from Agency Fees increased by $0.3 million, or 31%, to $1.4 million for the three months ended March 31, 2019 from $1.1 million for the three months ended March 31, 2018. These increases were primarily attributable to an increase in total sales agent head count to 184 at March 31, 2019, from 121 at March 31, 2018, a 52% increase.</w:t>
      </w:r>
    </w:p>
    <w:p>
      <w:pPr>
        <w:spacing w:after="0" w:line="62"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Renewal Revenue (Corporate) increased by $0.9 million or 23%, to $4.8 million for the three months ended March 31, 2019 from $3.9 million for the three months ended March 31, 2018. This increase is primarily attributable to an increase in the number of policies in the renewal term from March 31, 2018 to 2019.</w:t>
      </w:r>
    </w:p>
    <w:p>
      <w:pPr>
        <w:spacing w:after="0" w:line="55" w:lineRule="exact"/>
        <w:rPr>
          <w:sz w:val="20"/>
          <w:szCs w:val="20"/>
          <w:color w:val="auto"/>
        </w:rPr>
      </w:pPr>
    </w:p>
    <w:p>
      <w:pPr>
        <w:jc w:val="both"/>
        <w:ind w:right="120"/>
        <w:spacing w:after="0" w:line="271" w:lineRule="auto"/>
        <w:rPr>
          <w:sz w:val="20"/>
          <w:szCs w:val="20"/>
          <w:color w:val="auto"/>
        </w:rPr>
      </w:pPr>
      <w:r>
        <w:rPr>
          <w:rFonts w:ascii="Arial" w:cs="Arial" w:eastAsia="Arial" w:hAnsi="Arial"/>
          <w:sz w:val="18"/>
          <w:szCs w:val="18"/>
          <w:color w:val="auto"/>
        </w:rPr>
        <w:t>Revenue from Contingent Commissions in the Corporate Channel increased by $2.2 million, to $3.3 million for the three months ended March 31, 2019 from $1.1 million for the three months ended March 31, 2018. The increase between the three-month periods is primarily attributable to the increase in Total Written Premium placed from March 31, 2018 to 2019.</w:t>
      </w:r>
    </w:p>
    <w:p>
      <w:pPr>
        <w:spacing w:after="0" w:line="5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Revenue from Contingent Commissions in the Franchise Channel increased $ 2.5 million, or 142% to $4.2 million for the three months ended March 31, 2019 from $1.7 million for the three months ended March 31, 2018. The increase between the three-month periods is primarily attributable to the increase in Total Written Premium placed from March 31, 2018 to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Franchise Revenues consist of Royalty Fees, Initial Franchise Fees, and interest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franchise revenues by amount and as a percentage of our revenues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16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Three Months Ended March 31</w:t>
            </w:r>
          </w:p>
        </w:tc>
        <w:tc>
          <w:tcPr>
            <w:tcW w:w="1200" w:type="dxa"/>
            <w:vAlign w:val="bottom"/>
            <w:tcBorders>
              <w:bottom w:val="single" w:sz="8" w:color="auto"/>
            </w:tcBorders>
          </w:tcPr>
          <w:p>
            <w:pPr>
              <w:spacing w:after="0"/>
              <w:rPr>
                <w:sz w:val="22"/>
                <w:szCs w:val="22"/>
                <w:color w:val="auto"/>
              </w:rPr>
            </w:pPr>
          </w:p>
        </w:tc>
      </w:tr>
      <w:tr>
        <w:trPr>
          <w:trHeight w:val="250"/>
        </w:trPr>
        <w:tc>
          <w:tcPr>
            <w:tcW w:w="516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7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New Business Royalty Fees</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1,355</w:t>
            </w:r>
          </w:p>
        </w:tc>
        <w:tc>
          <w:tcPr>
            <w:tcW w:w="7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953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52"/>
        </w:trPr>
        <w:tc>
          <w:tcPr>
            <w:tcW w:w="5160" w:type="dxa"/>
            <w:vAlign w:val="bottom"/>
          </w:tcPr>
          <w:p>
            <w:pPr>
              <w:ind w:left="40"/>
              <w:spacing w:after="0"/>
              <w:rPr>
                <w:sz w:val="20"/>
                <w:szCs w:val="20"/>
                <w:color w:val="auto"/>
              </w:rPr>
            </w:pPr>
            <w:r>
              <w:rPr>
                <w:rFonts w:ascii="Arial" w:cs="Arial" w:eastAsia="Arial" w:hAnsi="Arial"/>
                <w:sz w:val="18"/>
                <w:szCs w:val="18"/>
                <w:color w:val="auto"/>
              </w:rPr>
              <w:t>Renewal Royalty Fees</w:t>
            </w:r>
          </w:p>
        </w:tc>
        <w:tc>
          <w:tcPr>
            <w:tcW w:w="6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3,763</w:t>
            </w:r>
          </w:p>
        </w:tc>
        <w:tc>
          <w:tcPr>
            <w:tcW w:w="720" w:type="dxa"/>
            <w:vAlign w:val="bottom"/>
          </w:tcPr>
          <w:p>
            <w:pPr>
              <w:spacing w:after="0"/>
              <w:rPr>
                <w:sz w:val="21"/>
                <w:szCs w:val="21"/>
                <w:color w:val="auto"/>
              </w:rPr>
            </w:pPr>
          </w:p>
        </w:tc>
        <w:tc>
          <w:tcPr>
            <w:tcW w:w="1700" w:type="dxa"/>
            <w:vAlign w:val="bottom"/>
          </w:tcPr>
          <w:p>
            <w:pPr>
              <w:jc w:val="right"/>
              <w:ind w:right="650"/>
              <w:spacing w:after="0"/>
              <w:rPr>
                <w:sz w:val="20"/>
                <w:szCs w:val="20"/>
                <w:color w:val="auto"/>
              </w:rPr>
            </w:pPr>
            <w:r>
              <w:rPr>
                <w:rFonts w:ascii="Arial" w:cs="Arial" w:eastAsia="Arial" w:hAnsi="Arial"/>
                <w:sz w:val="18"/>
                <w:szCs w:val="18"/>
                <w:color w:val="auto"/>
              </w:rPr>
              <w:t>2,287</w:t>
            </w: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6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Initial Franchise Fees</w:t>
            </w:r>
          </w:p>
        </w:tc>
        <w:tc>
          <w:tcPr>
            <w:tcW w:w="6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1,710</w:t>
            </w:r>
          </w:p>
        </w:tc>
        <w:tc>
          <w:tcPr>
            <w:tcW w:w="72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rPr>
              <w:t>1,670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5"/>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Franchise revenues</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6,828</w:t>
            </w:r>
          </w:p>
        </w:tc>
        <w:tc>
          <w:tcPr>
            <w:tcW w:w="7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4,910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5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Revenue from New Business Royalty Fees increased by $0.4 million, or 42%, to $1.4 million for the three months ended March 31, 2019 from $1.0 million for the three months ended March 31, 2018. The increase in revenue from New Business Royalty Fees was primarily attributable to an increase in the total number of operating franchises from March 31, 2018 to 2019.</w:t>
      </w:r>
    </w:p>
    <w:p>
      <w:pPr>
        <w:spacing w:after="0" w:line="5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Revenue from Renewal Royalty Fees increase by $ 1.5 million, or 65%, to $3.8 million, for the three months ended March 31, 2019 from $2.3 million for the three months ended March 31, 2018. The increase in revenue from Renewal Royalty Fees was primarily attributable to an increase in the number of policies in the renewal term, and the higher Royalty Fee rate on renewal business compared to new business (50% vs. 20%, respectively).</w:t>
      </w:r>
    </w:p>
    <w:p>
      <w:pPr>
        <w:spacing w:after="0" w:line="6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Revenues from Initial Franchise Fees increase by $40 thousand or 2% to $1.71 million for three months ended March 31, 2019 from $1.67 million during the three months ended March 31, 2018. The increase in revenue from Initial Franchise Fees was attributable to an increase in the total number of franchises that attended training from the three months ended March 31, 2018 to 2019.</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952"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Interest income</w:t>
      </w:r>
    </w:p>
    <w:p>
      <w:pPr>
        <w:spacing w:after="0" w:line="11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Interest income increased by $52 thousand, or 63%, to $135 thousand for the three months ended March 31, 2019 from $83 thousand for the three months ended March 31, 2018. This increase was primarily attributable to additional Franchise Agreements signed under the payment plan option.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1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Employee compensation and benefits expenses increased by $2.4 million, or 34%, to $9.2 million for the three months ended March 31, 2019 from $6.8 million for the three months ended March 31, 2018. This increase was primarily attributable to an increase in total headcount from the three months ended March 31, 2018 to the three months ended March 31, 2019,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General and administrative expenses increased by $2.1 million, or 87%, to $4.4 million for the three months ended March 31, 2019 from $2.4 million for the three months ended March 31, 2018. This increase was primarily attributable to higher costs associated with an increase in operating franchises and employees, investments made in technology, and additional costs associated with operating as a public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Bad debts</w:t>
      </w:r>
    </w:p>
    <w:p>
      <w:pPr>
        <w:spacing w:after="0" w:line="11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Bad debts increased by $121 thousand, or 43%, to $401 thousand for the three months ended March 31, 2019 from $280 thousand for the three months ended March 31, 2018. This increase was primarily attributable to increases in Agency Fees and Initial Franchise Fees sold by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5" w:lineRule="exact"/>
        <w:rPr>
          <w:sz w:val="20"/>
          <w:szCs w:val="20"/>
          <w:color w:val="auto"/>
        </w:rPr>
      </w:pPr>
    </w:p>
    <w:p>
      <w:pPr>
        <w:jc w:val="both"/>
        <w:ind w:right="180"/>
        <w:spacing w:after="0" w:line="271" w:lineRule="auto"/>
        <w:rPr>
          <w:sz w:val="20"/>
          <w:szCs w:val="20"/>
          <w:color w:val="auto"/>
        </w:rPr>
      </w:pPr>
      <w:r>
        <w:rPr>
          <w:rFonts w:ascii="Arial" w:cs="Arial" w:eastAsia="Arial" w:hAnsi="Arial"/>
          <w:sz w:val="18"/>
          <w:szCs w:val="18"/>
          <w:color w:val="auto"/>
        </w:rPr>
        <w:t>Depreciation and amortization increased by $86 thousand, or 26%, to $423 thousand for the three months ended March 31, 2019 from $337 thousand for the three months ended March 31, 2018. This increase was primarily attributable to the increase in fixed assets during the same period, including expansion of existing corporate offices and hardware for additional employees hired.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Interest expenses decreased by $369 thousand, or 37%, to $626 thousand for the three months ended March 31, 2019 from $995 thousand for the three months ended March 31, 2018. This decrease was primarily attributable to the Company refinancing the existing term loan with a lower interest rate during the third quarter of 2018 and a lower tier of interest rate triggered by continued decreases in our leverage ratios.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117"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Corporate Channel Adjusted EBITDA is Segment earnings before interest, income taxes, depreciation and amortization allocable to the Corporate Channel.</w:t>
      </w:r>
    </w:p>
    <w:p>
      <w:pPr>
        <w:spacing w:after="0" w:line="3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Corporate Channel Adjusted EBITDA increased by $2.8 million, or 140%, to $4.7 million for the three months ended March 31, 2019 from $2.0 million for the three months ended March 31, 2018. This increase is primarily attributable higher New Business Revenue (Corporate) from increased hiring and agent ramp-up, plus an increase in more profitable Renewal Revenue (Corporate), as described above, and an increase in Contingent Commissions received, offset by an increase in employee compensation and benefits from additional hiring and higher general and administrative expenses related to additional hiring and investments in technology.</w:t>
      </w:r>
    </w:p>
    <w:p>
      <w:pPr>
        <w:spacing w:after="0" w:line="67"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Franchise Channel Adjusted EBITDA is Segment earnings before interest, income taxes, depreciation and amortization, adjusted to exclude other non-operating items.</w:t>
      </w:r>
    </w:p>
    <w:p>
      <w:pPr>
        <w:spacing w:after="0" w:line="3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Franchise Channel Adjusted EBITDA increased by $2.5 million, or 80%, to $5.6 million for the three months ended March 31, 2019 from $3.1 million for the three months ended March 31, 2018. This increase is primarily attributable to an increase in New Business Revenue from an increase in operating agencies, an increase in more profitable Renewal Revenue, and an increase in Contingent Commissions, offset by higher employee compensation and benefits and general and administrative expenses related to investments in hiring and technology.</w:t>
      </w:r>
    </w:p>
    <w:p>
      <w:pPr>
        <w:spacing w:after="0" w:line="62" w:lineRule="exact"/>
        <w:rPr>
          <w:sz w:val="20"/>
          <w:szCs w:val="20"/>
          <w:color w:val="auto"/>
        </w:rPr>
      </w:pPr>
    </w:p>
    <w:p>
      <w:pPr>
        <w:ind w:right="680"/>
        <w:spacing w:after="0" w:line="292" w:lineRule="auto"/>
        <w:rPr>
          <w:sz w:val="20"/>
          <w:szCs w:val="20"/>
          <w:color w:val="auto"/>
        </w:rPr>
      </w:pPr>
      <w:r>
        <w:rPr>
          <w:rFonts w:ascii="Arial" w:cs="Arial" w:eastAsia="Arial" w:hAnsi="Arial"/>
          <w:sz w:val="18"/>
          <w:szCs w:val="18"/>
          <w:color w:val="auto"/>
        </w:rPr>
        <w:t>Neither of Franchise Channel Adjusted EBITDA or Corporate Channel Adjusted EBITDA includes equity-based compensation, which is recorded at the consolidated level and excluded from the EBITDA calculation.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0" w:right="239" w:bottom="1440" w:gutter="0" w:footer="0" w:header="0"/>
        </w:sectPr>
      </w:pPr>
    </w:p>
    <w:bookmarkStart w:id="25" w:name="page26"/>
    <w:bookmarkEnd w:id="25"/>
    <w:p>
      <w:pPr>
        <w:spacing w:after="0"/>
        <w:rPr>
          <w:sz w:val="20"/>
          <w:szCs w:val="20"/>
          <w:color w:val="auto"/>
        </w:rPr>
      </w:pPr>
      <w:r>
        <w:rPr>
          <w:rFonts w:ascii="Arial" w:cs="Arial" w:eastAsia="Arial" w:hAnsi="Arial"/>
          <w:sz w:val="22"/>
          <w:szCs w:val="22"/>
          <w:b w:val="1"/>
          <w:bCs w:val="1"/>
          <w:color w:val="auto"/>
        </w:rPr>
        <w:t>Key performance indicators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Our key operating metrics are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Written Premium</w:t>
      </w:r>
    </w:p>
    <w:p>
      <w:pPr>
        <w:spacing w:after="0" w:line="117"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Total Written Premium represents for any reported period, the total amount of current (non-cancelled) gross premium that is placed with Goosehead’s portfolio of Carriers. We believe that Total Written Premium is an appropriate measure of operating performance because it reflects growth of our business relative to other insurance agencies.</w:t>
      </w:r>
    </w:p>
    <w:p>
      <w:pPr>
        <w:spacing w:after="0" w:line="5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 xml:space="preserve">For the three months ended March 31, 2019 and 2018, the Company placed $146.9 million in Total Written Premium, representing a 45% increase, compared to $100.9 million for the three months ended March 31, 2018. The following table shows Total Written Premium by channel for the three months ended and 2019 and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1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 March 31</w:t>
            </w:r>
          </w:p>
        </w:tc>
        <w:tc>
          <w:tcPr>
            <w:tcW w:w="1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 Change</w:t>
            </w:r>
          </w:p>
        </w:tc>
      </w:tr>
      <w:tr>
        <w:trPr>
          <w:trHeight w:val="264"/>
        </w:trPr>
        <w:tc>
          <w:tcPr>
            <w:tcW w:w="5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2018</w:t>
            </w:r>
          </w:p>
        </w:tc>
        <w:tc>
          <w:tcPr>
            <w:tcW w:w="1760" w:type="dxa"/>
            <w:vAlign w:val="bottom"/>
            <w:tcBorders>
              <w:bottom w:val="single" w:sz="8" w:color="auto"/>
            </w:tcBorders>
          </w:tcPr>
          <w:p>
            <w:pPr>
              <w:spacing w:after="0"/>
              <w:rPr>
                <w:sz w:val="22"/>
                <w:szCs w:val="22"/>
                <w:color w:val="auto"/>
              </w:rPr>
            </w:pPr>
          </w:p>
        </w:tc>
      </w:tr>
      <w:tr>
        <w:trPr>
          <w:trHeight w:val="244"/>
        </w:trPr>
        <w:tc>
          <w:tcPr>
            <w:tcW w:w="5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Channel Total Written Premium</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50,675</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39,701</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7"/>
        </w:trPr>
        <w:tc>
          <w:tcPr>
            <w:tcW w:w="5340" w:type="dxa"/>
            <w:vAlign w:val="bottom"/>
            <w:gridSpan w:val="2"/>
          </w:tcPr>
          <w:p>
            <w:pPr>
              <w:ind w:left="40"/>
              <w:spacing w:after="0"/>
              <w:rPr>
                <w:sz w:val="20"/>
                <w:szCs w:val="20"/>
                <w:color w:val="auto"/>
              </w:rPr>
            </w:pPr>
            <w:r>
              <w:rPr>
                <w:rFonts w:ascii="Arial" w:cs="Arial" w:eastAsia="Arial" w:hAnsi="Arial"/>
                <w:sz w:val="18"/>
                <w:szCs w:val="18"/>
                <w:color w:val="auto"/>
              </w:rPr>
              <w:t>Franchise Channel Total Written Premium</w:t>
            </w:r>
          </w:p>
        </w:tc>
        <w:tc>
          <w:tcPr>
            <w:tcW w:w="1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96,199</w:t>
            </w:r>
          </w:p>
        </w:tc>
        <w:tc>
          <w:tcPr>
            <w:tcW w:w="54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61,247</w:t>
            </w:r>
          </w:p>
        </w:tc>
        <w:tc>
          <w:tcPr>
            <w:tcW w:w="17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
        </w:trPr>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Written Premium</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146,874</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100,948</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Policies in Force</w:t>
      </w:r>
    </w:p>
    <w:p>
      <w:pPr>
        <w:spacing w:after="0" w:line="117"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Policies in Force means as of any reported date, the total count of current (non-cancelled) policies placed with Goosehead’s portfolio of Carriers. We believe that Policies in Force is an appropriate measure of operating performance because it reflects growth of our business relative to other insurance agencies.</w:t>
      </w:r>
    </w:p>
    <w:p>
      <w:pPr>
        <w:spacing w:after="0" w:line="55"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As of March 31, 2019, we had 365 thousand in Policies in Force compared to 334 thousand as of December 31, 2018 and 252 thousand as of March 31, 2018, representing a 9% and 45% increase,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NPS</w:t>
      </w:r>
    </w:p>
    <w:p>
      <w:pPr>
        <w:spacing w:after="0" w:line="117"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Net Promoter Score (NPS) is calculated based on a single question: “How likely are you to refer Goosehead Insurance to a friend, family member or colleague?” Clients that respond with a 6 or below are Detractors, a</w:t>
      </w:r>
    </w:p>
    <w:p>
      <w:pPr>
        <w:spacing w:after="0" w:line="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score of 7 or 8 are called Passives, and a 9 or 10 are Promoters. NPS is calculated by subtracting the percentage of Detractors from the percentage of Promoters. For example, if 50% of respondents were Promoters and 10% were Detractors, NPS is a 40. NPS is a useful gauge of the loyalty of client relationships and can be compared across companies and industries.</w:t>
      </w:r>
    </w:p>
    <w:p>
      <w:pPr>
        <w:spacing w:after="0" w:line="67"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NPS has increased to 90 as of March 31, 2019 from 89 as of December 31, 2018, primarily driven by the service team’s continued focus on delivering highly differentiated service levels.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Retention</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Client Retention is calculated by comparing the number of all clients that had at least one policy in force twelve months prior to the date of measurement and still have at least one policy in force at the date of measurement. We believe Client Retention is useful as a measure of how well Goosehead retains clients year-over-year and minimizes defections.</w:t>
      </w:r>
    </w:p>
    <w:p>
      <w:pPr>
        <w:spacing w:after="0" w:line="5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Client Retention has remained steady at 88% at March 31, 2019 from December 31, 2018, again driven by the service team’s continued focus on delivering highly differentiated service levels. For the trailing twelve months ended March 31, 2019, we retained 93% of the premiums we distributed in the trailing twelve months ended March 31, 2018, which remained steady from the 94% premium retention at December 31, 2018. Our premium retention rate is higher than our Client Retention rate as a result of both premiums increasing year over year and additional coverages sold by our sales and service teams.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Business Revenue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008" w:right="259" w:bottom="1440" w:gutter="0" w:footer="0" w:header="0"/>
        </w:sectPr>
      </w:pPr>
    </w:p>
    <w:bookmarkStart w:id="26" w:name="page27"/>
    <w:bookmarkEnd w:id="26"/>
    <w:p>
      <w:pPr>
        <w:ind w:right="160"/>
        <w:spacing w:after="0" w:line="292" w:lineRule="auto"/>
        <w:rPr>
          <w:sz w:val="20"/>
          <w:szCs w:val="20"/>
          <w:color w:val="auto"/>
        </w:rPr>
      </w:pPr>
      <w:r>
        <w:rPr>
          <w:rFonts w:ascii="Arial" w:cs="Arial" w:eastAsia="Arial" w:hAnsi="Arial"/>
          <w:sz w:val="18"/>
          <w:szCs w:val="18"/>
          <w:color w:val="auto"/>
        </w:rPr>
        <w:t>New Business Revenue is commissions received from the Carrier, Agency Fees received from clients, and Royalty Fees relating to policies in their first term.</w:t>
      </w:r>
    </w:p>
    <w:p>
      <w:pPr>
        <w:spacing w:after="0" w:line="3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For the three months ended March 31, 2019, New Business Revenue grew 36% to $5.2 million, from $3.9 million for the three months ended March 31, 2018. Growth in New Business Revenue is driven by an increase in Corporate Channel sales agent headcount of 52% and growth in operating franchises in the Franchise Channel of 47%.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Renewal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Renewal Revenue is commissions received from the Carrier and Royalty Fees after the first term of a policy.</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the three months ended March 31, 2019, Renewal Revenue grew 38% to $8.6 million, from $6.2 million for the three months ended March 31, 2018. Growth in Renewal Revenue was driven by Client Retention of 88% at March 31, 2019. As our agent force matures on both the Corporate Channel and the Franchise Channel, the policies they wrote in prior years begins to convert from New Business Revenue to more profitable Renewal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Measures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Adjusted EBITDA, Adjusted EBITDA Margin, and Adjusted EPS are not measures of financial performance under GAAP and should not be considered substitutes for net income or earnings per share, which we consider to be the most directly comparable GAAP measure. We refer to these measures as "non-GAAP financial measures." We consider these non-GAAP financial measures to be useful metrics for management and investors to facilitate operating performance comparisons from period to period by excluding potential differences caused by variations in capital structures, tax position, depreciation, amortization and certain other items that we believe are not representative of our core business. Adjusted EBITDA, Adjusted EBITDA Margin, and Adjusted EPS have limitations as analytical tools, and when assessing our operating performance, you should not consider Adjusted EBITDA, Adjusted EBITDA Margin, or Adjusted EPS in isolation or as substitutes for net income, earnings per share or other consolidated income statement data prepared in accordance with GAAP. Other companies may calculate Adjusted EBITDA, Adjusted EBITDA Margin, and Adjusted EPS differently than we do, limiting their usefulness as comparative measures.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Adjusted EBITDA is a supplemental measure of our performance. We believe that Adjusted EBITDA is an appropriate measure of operating performance because it eliminates the impact of items that do not relate to business performance. Adjusted EBITDA is defined as net income (the most directly comparable GAAP measure) before interest, income taxes, depreciation and amortization, adjusted to exclude equity-based compensation and other non-operating items, including, among other things, certain non-cash charges and certain non-recurring or non-operating gains or losses.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Adjusted EBITDA increased by $4.4 million, or 86%, to $9.5 million for the three months ended March 31, 2019, from $5.1 million for the three months ended March 31, 2018, driven by Corporate Channel Adjusted EBITDA growth of $2.8 million and Franchise Channel Adjusted EBITDA growth of $2.5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117" w:lineRule="exact"/>
        <w:rPr>
          <w:sz w:val="20"/>
          <w:szCs w:val="20"/>
          <w:color w:val="auto"/>
        </w:rPr>
      </w:pPr>
    </w:p>
    <w:p>
      <w:pPr>
        <w:ind w:right="640"/>
        <w:spacing w:after="0" w:line="292" w:lineRule="auto"/>
        <w:rPr>
          <w:sz w:val="20"/>
          <w:szCs w:val="20"/>
          <w:color w:val="auto"/>
        </w:rPr>
      </w:pPr>
      <w:r>
        <w:rPr>
          <w:rFonts w:ascii="Arial" w:cs="Arial" w:eastAsia="Arial" w:hAnsi="Arial"/>
          <w:sz w:val="18"/>
          <w:szCs w:val="18"/>
          <w:color w:val="auto"/>
        </w:rPr>
        <w:t>Adjusted EBITDA Margin is Adjusted EBITDA as defined above, divided by total revenue excluding other non-operating items. Adjusted EBITDA Margin is helpful in measuring profitability of operations on a consolidated level.</w:t>
      </w:r>
    </w:p>
    <w:p>
      <w:pPr>
        <w:spacing w:after="0" w:line="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three months ended March 31, 2019, Adjusted EBITDA Margin was 41% compared to 35% for the three months ended March 31, 2018, primarily driven by expansion in both Corporate Channel Adjusted EBITDA Margin and Franchise Channel Adjusted EBITDA Margin. Corporate Channel Adjusted EBITDA Margin expansion can be attributed to an increase in more profitable Renewal Revenue (Corporate), and an increase in Contingent Commissions received, offset by an increase in employee compensation and benefits from additional hiring and higher general and administrative expenses related to additional hiring and investments in technology. Franchise Channel Adjusted EBITDA Margin expansion is attributed to growth in more profitable Renewal Revenue and the increase in Contingent Commissions, offset by higher employee compensation and benefits and general and administrative expenses from investments in hiring and technology.</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Adjusted EPS</w:t>
      </w:r>
    </w:p>
    <w:p>
      <w:pPr>
        <w:spacing w:after="0" w:line="22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Adjusted EPS is a supplemental measure of our performance, defined as earnings per share (the most directly comparable GAAP measure) before non-recurring or non-operating income and expenses. Adjusted EPS is a useful measure to management because it eliminates the impact of items that do not relate to business performance.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to Non-GAAP Reconciliations</w:t>
      </w:r>
    </w:p>
    <w:p>
      <w:pPr>
        <w:spacing w:after="0" w:line="117"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 xml:space="preserve">The following tables show a reconciliation from net income to Adjusted EBITDA for the three months ended March 31, 2019 and 2018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10" w:lineRule="exact"/>
        <w:rPr>
          <w:sz w:val="20"/>
          <w:szCs w:val="20"/>
          <w:color w:val="auto"/>
        </w:rPr>
      </w:pPr>
    </w:p>
    <w:tbl>
      <w:tblPr>
        <w:tblLayout w:type="fixed"/>
        <w:tblInd w:w="2200" w:type="dxa"/>
        <w:tblCellMar>
          <w:top w:w="0" w:type="dxa"/>
          <w:left w:w="0" w:type="dxa"/>
          <w:bottom w:w="0" w:type="dxa"/>
          <w:right w:w="0" w:type="dxa"/>
        </w:tblCellMar>
      </w:tblPr>
      <w:tr>
        <w:trPr>
          <w:trHeight w:val="254"/>
        </w:trPr>
        <w:tc>
          <w:tcPr>
            <w:tcW w:w="3380" w:type="dxa"/>
            <w:vAlign w:val="bottom"/>
          </w:tcPr>
          <w:p>
            <w:pPr>
              <w:spacing w:after="0"/>
              <w:rPr>
                <w:sz w:val="22"/>
                <w:szCs w:val="22"/>
                <w:color w:val="auto"/>
              </w:rPr>
            </w:pPr>
          </w:p>
        </w:tc>
        <w:tc>
          <w:tcPr>
            <w:tcW w:w="3640" w:type="dxa"/>
            <w:vAlign w:val="bottom"/>
            <w:tcBorders>
              <w:bottom w:val="single" w:sz="8" w:color="auto"/>
            </w:tcBorders>
            <w:gridSpan w:val="5"/>
          </w:tcPr>
          <w:p>
            <w:pPr>
              <w:jc w:val="right"/>
              <w:ind w:right="390"/>
              <w:spacing w:after="0"/>
              <w:rPr>
                <w:sz w:val="20"/>
                <w:szCs w:val="20"/>
                <w:color w:val="auto"/>
              </w:rPr>
            </w:pPr>
            <w:r>
              <w:rPr>
                <w:rFonts w:ascii="Arial" w:cs="Arial" w:eastAsia="Arial" w:hAnsi="Arial"/>
                <w:sz w:val="18"/>
                <w:szCs w:val="18"/>
                <w:b w:val="1"/>
                <w:bCs w:val="1"/>
                <w:color w:val="auto"/>
              </w:rPr>
              <w:t>Three months ended March 31,</w:t>
            </w:r>
          </w:p>
        </w:tc>
      </w:tr>
      <w:tr>
        <w:trPr>
          <w:trHeight w:val="264"/>
        </w:trPr>
        <w:tc>
          <w:tcPr>
            <w:tcW w:w="33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51"/>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7,318</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3,768</w:t>
            </w:r>
          </w:p>
        </w:tc>
      </w:tr>
      <w:tr>
        <w:trPr>
          <w:trHeight w:val="265"/>
        </w:trPr>
        <w:tc>
          <w:tcPr>
            <w:tcW w:w="33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23"/>
                <w:szCs w:val="23"/>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626</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995</w:t>
            </w:r>
          </w:p>
        </w:tc>
      </w:tr>
      <w:tr>
        <w:trPr>
          <w:trHeight w:val="275"/>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337</w:t>
            </w:r>
          </w:p>
        </w:tc>
      </w:tr>
      <w:tr>
        <w:trPr>
          <w:trHeight w:val="265"/>
        </w:trPr>
        <w:tc>
          <w:tcPr>
            <w:tcW w:w="3380" w:type="dxa"/>
            <w:vAlign w:val="bottom"/>
          </w:tcPr>
          <w:p>
            <w:pPr>
              <w:ind w:left="180"/>
              <w:spacing w:after="0"/>
              <w:rPr>
                <w:sz w:val="20"/>
                <w:szCs w:val="20"/>
                <w:color w:val="auto"/>
              </w:rPr>
            </w:pPr>
            <w:r>
              <w:rPr>
                <w:rFonts w:ascii="Arial" w:cs="Arial" w:eastAsia="Arial" w:hAnsi="Arial"/>
                <w:sz w:val="18"/>
                <w:szCs w:val="18"/>
                <w:color w:val="auto"/>
              </w:rPr>
              <w:t>Tax expense</w:t>
            </w:r>
          </w:p>
        </w:tc>
        <w:tc>
          <w:tcPr>
            <w:tcW w:w="1120" w:type="dxa"/>
            <w:vAlign w:val="bottom"/>
          </w:tcPr>
          <w:p>
            <w:pPr>
              <w:spacing w:after="0"/>
              <w:rPr>
                <w:sz w:val="23"/>
                <w:szCs w:val="23"/>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744</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Equity-based compensation</w:t>
            </w:r>
          </w:p>
        </w:tc>
        <w:tc>
          <w:tcPr>
            <w:tcW w:w="1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368</w:t>
            </w:r>
          </w:p>
        </w:tc>
        <w:tc>
          <w:tcPr>
            <w:tcW w:w="1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95"/>
        </w:trPr>
        <w:tc>
          <w:tcPr>
            <w:tcW w:w="3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EBITDA</w:t>
            </w:r>
          </w:p>
        </w:tc>
        <w:tc>
          <w:tcPr>
            <w:tcW w:w="11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9,479</w:t>
            </w: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5,100</w:t>
            </w:r>
          </w:p>
        </w:tc>
      </w:tr>
      <w:tr>
        <w:trPr>
          <w:trHeight w:val="237"/>
        </w:trPr>
        <w:tc>
          <w:tcPr>
            <w:tcW w:w="3380" w:type="dxa"/>
            <w:vAlign w:val="bottom"/>
            <w:shd w:val="clear" w:color="auto" w:fill="CCEEFF"/>
          </w:tcPr>
          <w:p>
            <w:pPr>
              <w:ind w:left="40"/>
              <w:spacing w:after="0" w:line="237" w:lineRule="exact"/>
              <w:rPr>
                <w:sz w:val="20"/>
                <w:szCs w:val="20"/>
                <w:color w:val="auto"/>
              </w:rPr>
            </w:pPr>
            <w:r>
              <w:rPr>
                <w:rFonts w:ascii="Arial" w:cs="Arial" w:eastAsia="Arial" w:hAnsi="Arial"/>
                <w:sz w:val="18"/>
                <w:szCs w:val="18"/>
                <w:color w:val="auto"/>
              </w:rPr>
              <w:t>Adjusted EBITDA Margin</w:t>
            </w:r>
            <w:r>
              <w:rPr>
                <w:rFonts w:ascii="Arial" w:cs="Arial" w:eastAsia="Arial" w:hAnsi="Arial"/>
                <w:sz w:val="21"/>
                <w:szCs w:val="21"/>
                <w:color w:val="auto"/>
                <w:vertAlign w:val="superscript"/>
              </w:rPr>
              <w:t>(1)</w:t>
            </w:r>
          </w:p>
        </w:tc>
        <w:tc>
          <w:tcPr>
            <w:tcW w:w="1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bl>
    <w:p>
      <w:pPr>
        <w:spacing w:after="0" w:line="95" w:lineRule="exact"/>
        <w:rPr>
          <w:sz w:val="20"/>
          <w:szCs w:val="20"/>
          <w:color w:val="auto"/>
        </w:rPr>
      </w:pPr>
    </w:p>
    <w:p>
      <w:pPr>
        <w:ind w:left="980"/>
        <w:spacing w:after="0" w:line="291" w:lineRule="auto"/>
        <w:tabs>
          <w:tab w:leader="none" w:pos="1196" w:val="left"/>
        </w:tabs>
        <w:numPr>
          <w:ilvl w:val="0"/>
          <w:numId w:val="8"/>
        </w:numPr>
        <w:rPr>
          <w:rFonts w:ascii="Arial" w:cs="Arial" w:eastAsia="Arial" w:hAnsi="Arial"/>
          <w:sz w:val="14"/>
          <w:szCs w:val="14"/>
          <w:color w:val="auto"/>
        </w:rPr>
      </w:pPr>
      <w:r>
        <w:rPr>
          <w:rFonts w:ascii="Arial" w:cs="Arial" w:eastAsia="Arial" w:hAnsi="Arial"/>
          <w:sz w:val="14"/>
          <w:szCs w:val="14"/>
          <w:color w:val="auto"/>
        </w:rPr>
        <w:t>Adjusted EBITDA Margin is calculated as Adjusted EBITDA divided by Total Revenue ($9,479/$23,133) and ($5,100/$14,589) for the three months ended March 31, 2019 and 2018.</w:t>
      </w:r>
    </w:p>
    <w:p>
      <w:pPr>
        <w:spacing w:after="0" w:line="302"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The following table show a reconciliation from basic earnings per share to Adjusted EPS (non-GAAP basis) for the three months ended March 31, 2019 (in thousands, except per share amounts). Note that totals may not sum due to rounding: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9660" w:type="dxa"/>
            <w:vAlign w:val="bottom"/>
          </w:tcPr>
          <w:p>
            <w:pPr>
              <w:ind w:left="40"/>
              <w:spacing w:after="0"/>
              <w:rPr>
                <w:sz w:val="20"/>
                <w:szCs w:val="20"/>
                <w:color w:val="auto"/>
              </w:rPr>
            </w:pPr>
            <w:r>
              <w:rPr>
                <w:rFonts w:ascii="Arial" w:cs="Arial" w:eastAsia="Arial" w:hAnsi="Arial"/>
                <w:sz w:val="18"/>
                <w:szCs w:val="18"/>
                <w:color w:val="auto"/>
              </w:rPr>
              <w:t>Three months ended March 31, 2019</w:t>
            </w:r>
          </w:p>
        </w:tc>
        <w:tc>
          <w:tcPr>
            <w:tcW w:w="6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5"/>
        </w:trPr>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 basic (GAAP)</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r>
      <w:tr>
        <w:trPr>
          <w:trHeight w:val="270"/>
        </w:trPr>
        <w:tc>
          <w:tcPr>
            <w:tcW w:w="9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Add: equity-based compensation</w:t>
            </w:r>
            <w:r>
              <w:rPr>
                <w:rFonts w:ascii="Arial" w:cs="Arial" w:eastAsia="Arial" w:hAnsi="Arial"/>
                <w:sz w:val="21"/>
                <w:szCs w:val="21"/>
                <w:color w:val="auto"/>
                <w:vertAlign w:val="superscript"/>
              </w:rPr>
              <w:t>(1)</w:t>
            </w:r>
          </w:p>
        </w:tc>
        <w:tc>
          <w:tcPr>
            <w:tcW w:w="6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r>
      <w:tr>
        <w:trPr>
          <w:trHeight w:val="250"/>
        </w:trPr>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Adjusted EPS (non-GAAP)</w:t>
            </w: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(1) Calculated as equity-based compensation divided by sum of Class A and Class B shares [ $368 thousand / ( 14.5 million + 21.8 million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liquidity and capital resources</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have managed our historical liquidity and capital requirements primarily through the receipt of revenues from our Corporate Channel and our Franchise Channel. Our primary cash flow activities involve: (1) generating cash flow from Corporate Channel operations, which largely includes New Business Revenue (Corporate) and Renewal Revenue (Corporate); (2) generating cash flow from Franchise Channel operations, which largely includes Initial Franchise Fees and Royalty Fees; and (3) borrowings, interest payments and repayments under our Credit Agreement. As of March 31, 2019, our cash and cash equivalents balance was $18.4 million. We have used cash flow from operations primarily to pay compensation and related expenses, general, administrative and other expenses, debt service and distributions to our owners.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1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August 3, 2018, Goosehead Insurance Holdings, LLC, as borrower, entered into a credit agreement (the “New Credit Agreement”) with JPMorgan Chase Bank, N.A., as agent, and the lenders party thereto, consisting of a $13.0 million revolving credit facility (the “New Revolving Credit Facility”) and $40.0 million term loan (the “New Term Loan”) used to refinance the Credit Agreement, working capital needs and general corporate purposes.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792" w:right="279" w:bottom="1440" w:gutter="0" w:footer="0" w:header="0"/>
        </w:sectPr>
      </w:pPr>
    </w:p>
    <w:bookmarkStart w:id="28" w:name="page29"/>
    <w:bookmarkEnd w:id="28"/>
    <w:p>
      <w:pPr>
        <w:ind w:right="240"/>
        <w:spacing w:after="0" w:line="292" w:lineRule="auto"/>
        <w:rPr>
          <w:sz w:val="20"/>
          <w:szCs w:val="20"/>
          <w:color w:val="auto"/>
        </w:rPr>
      </w:pPr>
      <w:r>
        <w:rPr>
          <w:rFonts w:ascii="Arial" w:cs="Arial" w:eastAsia="Arial" w:hAnsi="Arial"/>
          <w:sz w:val="18"/>
          <w:szCs w:val="18"/>
          <w:color w:val="auto"/>
        </w:rPr>
        <w:t>Company has the right, subject to approval by the administrative agent and each issuing bank, to increase the commitments under the credit facilities an additional $50.0 million.</w:t>
      </w:r>
    </w:p>
    <w:p>
      <w:pPr>
        <w:spacing w:after="0" w:line="3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Interest on amounts drawn under the New Revolving Credit Facility is calculated initially at LIBOR plus 2.5%, then at an interest rate determined by the Company's leverage ratio for the preceding period. As of March 31, 2019, the Company was in the greater than 2.50x leverage ratio tranche, accruing interest of LIBOR plus 2.25%. At March 31, 2019, the Company had $ 10.0 million drawn and letter of credit of $417 thousand applied against the maximum borrowing availability under the Revolving Credit Facility, thus amounts available to draw totaled $2.6 million. The New Revolving Credit Facility is collateralized by substantially all the Company’s assets, which includes rights to future commissions.</w:t>
      </w:r>
    </w:p>
    <w:p>
      <w:pPr>
        <w:spacing w:after="0" w:line="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Interest on the New Term Loan is calculated initially at LIBOR plus 2.5%, then at an interest rate determined by the Company’s leverage ratio for the preceding period. As of March 31, 2019, the Company was in the greater than 2.50x leverage ratio tranche, accruing interest of LIBOR plus 2.25%. The aggregate principal amount of the New Term Loans are payable in quarterly installments of (x) $ 500,000 through the fiscal quarter ending June 30, 2019, (y) $750,000 from the fiscal quarter ending September 30, 2019 through the fiscal quarter ending June 30, 2020 and (z) $1,250,000 from the fiscal quarter ending September 30, 2020 through the fiscal quarter ending June 30, 2021, with a balloon payment of the entire unpaid principal amount of the New Term Loans on August 3, 2021. The New Term Loans are collateralized by substantially all the Company’s assets, which includes rights to future commissions.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for each leverage ratio tier are as follows:</w:t>
      </w:r>
    </w:p>
    <w:p>
      <w:pPr>
        <w:spacing w:after="0" w:line="277" w:lineRule="exact"/>
        <w:rPr>
          <w:sz w:val="20"/>
          <w:szCs w:val="20"/>
          <w:color w:val="auto"/>
        </w:rPr>
      </w:pPr>
    </w:p>
    <w:tbl>
      <w:tblPr>
        <w:tblLayout w:type="fixed"/>
        <w:tblInd w:w="3500" w:type="dxa"/>
        <w:tblCellMar>
          <w:top w:w="0" w:type="dxa"/>
          <w:left w:w="0" w:type="dxa"/>
          <w:bottom w:w="0" w:type="dxa"/>
          <w:right w:w="0" w:type="dxa"/>
        </w:tblCellMar>
      </w:tblPr>
      <w:tr>
        <w:trPr>
          <w:trHeight w:val="254"/>
        </w:trPr>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Leverage Ratio</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Interest Rate</w:t>
            </w:r>
          </w:p>
        </w:tc>
      </w:tr>
      <w:tr>
        <w:trPr>
          <w:trHeight w:val="251"/>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&lt; 1.50x</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LIBOR + 175.0 bps</w:t>
            </w:r>
          </w:p>
        </w:tc>
      </w:tr>
      <w:tr>
        <w:trPr>
          <w:trHeight w:val="252"/>
        </w:trPr>
        <w:tc>
          <w:tcPr>
            <w:tcW w:w="2160" w:type="dxa"/>
            <w:vAlign w:val="bottom"/>
          </w:tcPr>
          <w:p>
            <w:pPr>
              <w:jc w:val="center"/>
              <w:spacing w:after="0"/>
              <w:rPr>
                <w:sz w:val="20"/>
                <w:szCs w:val="20"/>
                <w:color w:val="auto"/>
              </w:rPr>
            </w:pPr>
            <w:r>
              <w:rPr>
                <w:rFonts w:ascii="Arial" w:cs="Arial" w:eastAsia="Arial" w:hAnsi="Arial"/>
                <w:sz w:val="18"/>
                <w:szCs w:val="18"/>
                <w:color w:val="auto"/>
              </w:rPr>
              <w:t>&gt; 1.50x</w:t>
            </w:r>
          </w:p>
        </w:tc>
        <w:tc>
          <w:tcPr>
            <w:tcW w:w="2280" w:type="dxa"/>
            <w:vAlign w:val="bottom"/>
          </w:tcPr>
          <w:p>
            <w:pPr>
              <w:jc w:val="center"/>
              <w:spacing w:after="0"/>
              <w:rPr>
                <w:sz w:val="20"/>
                <w:szCs w:val="20"/>
                <w:color w:val="auto"/>
              </w:rPr>
            </w:pPr>
            <w:r>
              <w:rPr>
                <w:rFonts w:ascii="Arial" w:cs="Arial" w:eastAsia="Arial" w:hAnsi="Arial"/>
                <w:sz w:val="18"/>
                <w:szCs w:val="18"/>
                <w:color w:val="auto"/>
              </w:rPr>
              <w:t>LIBOR + 200.0 bps</w:t>
            </w:r>
          </w:p>
        </w:tc>
      </w:tr>
      <w:tr>
        <w:trPr>
          <w:trHeight w:val="261"/>
        </w:trPr>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&gt; 2.50x</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LIBOR + 225.0 bps</w:t>
            </w:r>
          </w:p>
        </w:tc>
      </w:tr>
      <w:tr>
        <w:trPr>
          <w:trHeight w:val="247"/>
        </w:trPr>
        <w:tc>
          <w:tcPr>
            <w:tcW w:w="2160" w:type="dxa"/>
            <w:vAlign w:val="bottom"/>
          </w:tcPr>
          <w:p>
            <w:pPr>
              <w:jc w:val="center"/>
              <w:spacing w:after="0"/>
              <w:rPr>
                <w:sz w:val="20"/>
                <w:szCs w:val="20"/>
                <w:color w:val="auto"/>
              </w:rPr>
            </w:pPr>
            <w:r>
              <w:rPr>
                <w:rFonts w:ascii="Arial" w:cs="Arial" w:eastAsia="Arial" w:hAnsi="Arial"/>
                <w:sz w:val="18"/>
                <w:szCs w:val="18"/>
                <w:color w:val="auto"/>
              </w:rPr>
              <w:t>&gt; 3.50x</w:t>
            </w:r>
          </w:p>
        </w:tc>
        <w:tc>
          <w:tcPr>
            <w:tcW w:w="2280" w:type="dxa"/>
            <w:vAlign w:val="bottom"/>
          </w:tcPr>
          <w:p>
            <w:pPr>
              <w:jc w:val="center"/>
              <w:spacing w:after="0"/>
              <w:rPr>
                <w:sz w:val="20"/>
                <w:szCs w:val="20"/>
                <w:color w:val="auto"/>
              </w:rPr>
            </w:pPr>
            <w:r>
              <w:rPr>
                <w:rFonts w:ascii="Arial" w:cs="Arial" w:eastAsia="Arial" w:hAnsi="Arial"/>
                <w:sz w:val="18"/>
                <w:szCs w:val="18"/>
                <w:color w:val="auto"/>
              </w:rPr>
              <w:t>LIBOR + 250.0 bps</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Maturities of note payable for the next three calendar years as of March 31, 2019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1" w:lineRule="exact"/>
        <w:rPr>
          <w:sz w:val="20"/>
          <w:szCs w:val="20"/>
          <w:color w:val="auto"/>
        </w:rPr>
      </w:pPr>
    </w:p>
    <w:tbl>
      <w:tblPr>
        <w:tblLayout w:type="fixed"/>
        <w:tblInd w:w="2780" w:type="dxa"/>
        <w:tblCellMar>
          <w:top w:w="0" w:type="dxa"/>
          <w:left w:w="0" w:type="dxa"/>
          <w:bottom w:w="0" w:type="dxa"/>
          <w:right w:w="0" w:type="dxa"/>
        </w:tblCellMar>
      </w:tblPr>
      <w:tr>
        <w:trPr>
          <w:trHeight w:val="254"/>
        </w:trPr>
        <w:tc>
          <w:tcPr>
            <w:tcW w:w="288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51"/>
        </w:trPr>
        <w:tc>
          <w:tcPr>
            <w:tcW w:w="2880" w:type="dxa"/>
            <w:vAlign w:val="bottom"/>
            <w:shd w:val="clear" w:color="auto" w:fill="CCEEFF"/>
          </w:tcPr>
          <w:p>
            <w:pPr>
              <w:jc w:val="right"/>
              <w:ind w:right="2370"/>
              <w:spacing w:after="0"/>
              <w:rPr>
                <w:sz w:val="20"/>
                <w:szCs w:val="20"/>
                <w:color w:val="auto"/>
              </w:rPr>
            </w:pPr>
            <w:r>
              <w:rPr>
                <w:rFonts w:ascii="Arial" w:cs="Arial" w:eastAsia="Arial" w:hAnsi="Arial"/>
                <w:sz w:val="18"/>
                <w:szCs w:val="18"/>
                <w:color w:val="auto"/>
                <w:w w:val="99"/>
              </w:rPr>
              <w:t>2019</w:t>
            </w:r>
          </w:p>
        </w:tc>
        <w:tc>
          <w:tcPr>
            <w:tcW w:w="12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52"/>
        </w:trPr>
        <w:tc>
          <w:tcPr>
            <w:tcW w:w="2880" w:type="dxa"/>
            <w:vAlign w:val="bottom"/>
          </w:tcPr>
          <w:p>
            <w:pPr>
              <w:jc w:val="right"/>
              <w:ind w:right="2370"/>
              <w:spacing w:after="0"/>
              <w:rPr>
                <w:sz w:val="20"/>
                <w:szCs w:val="20"/>
                <w:color w:val="auto"/>
              </w:rPr>
            </w:pPr>
            <w:r>
              <w:rPr>
                <w:rFonts w:ascii="Arial" w:cs="Arial" w:eastAsia="Arial" w:hAnsi="Arial"/>
                <w:sz w:val="18"/>
                <w:szCs w:val="18"/>
                <w:color w:val="auto"/>
                <w:w w:val="99"/>
              </w:rPr>
              <w:t>2020</w:t>
            </w:r>
          </w:p>
        </w:tc>
        <w:tc>
          <w:tcPr>
            <w:tcW w:w="1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57"/>
        </w:trPr>
        <w:tc>
          <w:tcPr>
            <w:tcW w:w="2880" w:type="dxa"/>
            <w:vAlign w:val="bottom"/>
            <w:shd w:val="clear" w:color="auto" w:fill="CCEEFF"/>
          </w:tcPr>
          <w:p>
            <w:pPr>
              <w:jc w:val="right"/>
              <w:ind w:right="2370"/>
              <w:spacing w:after="0"/>
              <w:rPr>
                <w:sz w:val="20"/>
                <w:szCs w:val="20"/>
                <w:color w:val="auto"/>
              </w:rPr>
            </w:pPr>
            <w:r>
              <w:rPr>
                <w:rFonts w:ascii="Arial" w:cs="Arial" w:eastAsia="Arial" w:hAnsi="Arial"/>
                <w:sz w:val="18"/>
                <w:szCs w:val="18"/>
                <w:color w:val="auto"/>
                <w:w w:val="99"/>
              </w:rPr>
              <w:t>2021</w:t>
            </w:r>
          </w:p>
        </w:tc>
        <w:tc>
          <w:tcPr>
            <w:tcW w:w="120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32,500</w:t>
            </w:r>
          </w:p>
        </w:tc>
      </w:tr>
      <w:tr>
        <w:trPr>
          <w:trHeight w:val="250"/>
        </w:trPr>
        <w:tc>
          <w:tcPr>
            <w:tcW w:w="408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38,500</w:t>
            </w:r>
          </w:p>
        </w:tc>
      </w:tr>
      <w:tr>
        <w:trPr>
          <w:trHeight w:val="20"/>
        </w:trPr>
        <w:tc>
          <w:tcPr>
            <w:tcW w:w="28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Loan origination fees of $499 thousand at March 31, 2019 are reflected as a reduction to the note balance and will be amortized through interest expense over three years (the term of the note payable). The amortization of these loan origination fees is included in interest expense.</w:t>
      </w:r>
    </w:p>
    <w:p>
      <w:pPr>
        <w:spacing w:after="0" w:line="3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New Credit Agreement contains covenants that, among other things, restrict our ability to make certain restricted payments (including a covenant that restricts Goosehead Financial, LLC’s ability to make dividends or other distributions to Goosehead Insurance, Inc.), incur additional debt, engage in certain asset sales, mergers, acquisitions or similar transactions, create liens on assets, engage in certain transactions with affiliates, change our business or make investments. We may voluntarily prepay in whole or in part the outstanding principal under our New Term Loans at any time prior to the maturity date. In addition, the New Credit Agreement contains financial covenants requiring us to maintain our fixed charge coverage ratio at or above 1.20 to 1.00 and total debt to EBITDA (as defined in the New Credit Agreement) ratio at or below 4.50 to 1.0 (with a step down to 4.00 to 1.00 with respect to any fiscal quarter ending on or after September 30, 2019). Pursuant to the New Credit Agreement, a change of control default will be triggered when (x) any person or group other than Mark Jones and Robyn Jones or their controlled investment affiliates becomes the beneficial owner, directly or indirectly, of more than 50% of the aggregate ordinary voting power represented by our outstanding equity interests, unless Mark Jones and Robyn Jones or their controlled investment affiliates have the ability to elect or designate for election at least a majority of our board of directors or (y) Goosehead Insurance, Inc. ceases to directly own at least 35% of Goosehead Financial, LLC or Goosehead Insurance, Inc. ceases to be the managing member of Goosehead Financial, LLC. Such a default could result in the acceleration of repayment of our and our subsidiaries’ indebtedness, including borrowings under the New Revolving Credit Facility if not waived by the lenders under the New Credit Agreement.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84" w:right="239" w:bottom="1440" w:gutter="0" w:footer="0" w:header="0"/>
        </w:sectPr>
      </w:pPr>
    </w:p>
    <w:bookmarkStart w:id="29" w:name="page30"/>
    <w:bookmarkEnd w:id="29"/>
    <w:p>
      <w:pPr>
        <w:ind w:right="100"/>
        <w:spacing w:after="0" w:line="292" w:lineRule="auto"/>
        <w:rPr>
          <w:sz w:val="20"/>
          <w:szCs w:val="20"/>
          <w:color w:val="auto"/>
        </w:rPr>
      </w:pPr>
      <w:r>
        <w:rPr>
          <w:rFonts w:ascii="Arial" w:cs="Arial" w:eastAsia="Arial" w:hAnsi="Arial"/>
          <w:sz w:val="18"/>
          <w:szCs w:val="18"/>
          <w:color w:val="auto"/>
        </w:rPr>
        <w:t>The failure by Mark Jones and Robyn Jones to maintain either a minimum voting interest in us or the ability to elect or designate for election at least a majority of our board of directors could trigger a change of control default under our New Credit Agreement.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the Company was in compliance with these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Comparative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our cash flows from operating, investing and financing activities for the periods indicated </w:t>
      </w:r>
      <w:r>
        <w:rPr>
          <w:rFonts w:ascii="Arial" w:cs="Arial" w:eastAsia="Arial" w:hAnsi="Arial"/>
          <w:sz w:val="18"/>
          <w:szCs w:val="18"/>
          <w:i w:val="1"/>
          <w:iCs w:val="1"/>
          <w:color w:val="auto"/>
        </w:rPr>
        <w:t>(in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 March 31,</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1"/>
        </w:trPr>
        <w:tc>
          <w:tcPr>
            <w:tcW w:w="694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Change</w:t>
            </w:r>
          </w:p>
        </w:tc>
      </w:tr>
      <w:tr>
        <w:trPr>
          <w:trHeight w:val="251"/>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52"/>
        </w:trPr>
        <w:tc>
          <w:tcPr>
            <w:tcW w:w="6940" w:type="dxa"/>
            <w:vAlign w:val="bottom"/>
          </w:tcPr>
          <w:p>
            <w:pPr>
              <w:ind w:left="4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61"/>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for) financing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5"/>
        </w:trPr>
        <w:tc>
          <w:tcPr>
            <w:tcW w:w="69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1,576</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(1,818)</w:t>
            </w:r>
          </w:p>
        </w:tc>
      </w:tr>
      <w:tr>
        <w:trPr>
          <w:trHeight w:val="261"/>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19,011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13,645</w:t>
            </w:r>
          </w:p>
        </w:tc>
      </w:tr>
      <w:tr>
        <w:trPr>
          <w:trHeight w:val="247"/>
        </w:trPr>
        <w:tc>
          <w:tcPr>
            <w:tcW w:w="6940" w:type="dxa"/>
            <w:vAlign w:val="bottom"/>
          </w:tcPr>
          <w:p>
            <w:pPr>
              <w:ind w:left="40"/>
              <w:spacing w:after="0"/>
              <w:rPr>
                <w:sz w:val="20"/>
                <w:szCs w:val="20"/>
                <w:color w:val="auto"/>
              </w:rPr>
            </w:pPr>
            <w:r>
              <w:rPr>
                <w:rFonts w:ascii="Arial" w:cs="Arial" w:eastAsia="Arial" w:hAnsi="Arial"/>
                <w:sz w:val="18"/>
                <w:szCs w:val="18"/>
                <w:color w:val="auto"/>
              </w:rPr>
              <w:t>Cash and cash equivalents, and restricted cash, end of period</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18,769</w:t>
            </w:r>
          </w:p>
        </w:tc>
        <w:tc>
          <w:tcPr>
            <w:tcW w:w="100" w:type="dxa"/>
            <w:vAlign w:val="bottom"/>
          </w:tcPr>
          <w:p>
            <w:pPr>
              <w:spacing w:after="0"/>
              <w:rPr>
                <w:sz w:val="21"/>
                <w:szCs w:val="21"/>
                <w:color w:val="auto"/>
              </w:rPr>
            </w:pP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6,942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11,827</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Net cash provided by operating activities was $1.8 million for the three months ended March 31, 2019 as compared to net cash provided by operating activities of $2.6 million for the three months ended March 31, 2018. This decrease in net cash provided by operating activities was attributable to an increase in net income of $3.6 million and an increase in lease incentives related to the corporate headquarters of $701 thousand, which was offset by $6.0 million paid to the Company's transfer agent to facilitate the distribution dividends to Class A shareholders. See "Note 11. Dividends."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investment activities</w:t>
      </w:r>
    </w:p>
    <w:p>
      <w:pPr>
        <w:spacing w:after="0" w:line="11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Net cash used for business investment activities was $1.3 million for the three months ended March 31, 2019 as compared to net cash used in business investment activities of $ 0.4 million for the three months ended March 31, 2018. The increase in cash used in business investment activities is related to the build-out of additional space in the corporate headquarters during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Net cash used for financing activities was $0.7 million for the three months ended March 31, 2019 as compared to net cash used for financing activities of $0.6 million for the three months ended March 31, 2018. This increase in net cash used for financing activities was attributable to the $245 thousand of tax distributions made to Pre-IPO LLC members.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 and uses of liquidity</w:t>
      </w:r>
    </w:p>
    <w:p>
      <w:pPr>
        <w:spacing w:after="0" w:line="11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Our sources of liquidity are (1) cash on hand, (2) net working capital, (3) cash flows from operations and (4) our Revolving Credit Facility. Based on our current expectations, we believe that these sources of liquidity will be sufficient to fund our working capital requirements and to meet our commitments in the foreseeable future.</w:t>
      </w:r>
    </w:p>
    <w:p>
      <w:pPr>
        <w:spacing w:after="0" w:line="5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expect that our primary liquidity needs will comprise cash to (1) provide capital to facilitate the organic growth of our business, (2) pay operating expenses, including cash compensation to our employees, (3) make payments under the tax receivable agreement, (4) pay interest and principal due on borrowings under our Credit Agreement and (5) pay income taxes.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On March 7, 2019, GF approved a $15.0 million extraordinary dividend to all holders of LLC Units, including GSHD. The board of directors of the Company then declared an extraordinary dividend of $0.41 (rounded) to all holders of Class A common stock of GSHD with a record date of March 18, 2019, to be paid on or before April 1, 2019. See "Note 11. Dividends".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There have been no material changes to our dividend policy as described in the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entered into a tax receivable agreement with the Pre-IPO LLC Members on May 1, 2018 that provides for the payment by us to the Pre-IPO LLC Members of 85% of the amount of cash savings, if any, in U.S. federal, state and local income tax or franchise tax that we actually realize as a result of (i) any increase in tax basis in Goosehead Insurance, Inc.’s assets and (ii) tax benefits related to imputed interest deemed arising as a result of payments made under the tax receivable agreement. See "Item 13. Certain relationships and related transactions, and director independence" of our Annual Report on Form 10-K.</w:t>
      </w:r>
    </w:p>
    <w:p>
      <w:pPr>
        <w:spacing w:after="0" w:line="6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Holders of Goosehead Financial, LLC Units (other than Goosehead Insurance, Inc.) may, subject to certain conditions and transfer restrictions described above, redeem or exchange their LLC Units for shares of Class A common stock of Goosehead Insurance, Inc. on a one-for-one basis. Goosehead Financial, LLC intends to make an election under Section 754 of the Internal Revenue Code of 1986, as amended, and the regulations thereunder (the “Code”) effective for each taxable year in which a redemption or exchange of LLC Units for shares of Class A common stock occurs, which is expected to result in increases to the tax basis of the assets of Goosehead Financial, LLC at the time of a redemption or exchange of LLC Units. The redemptions or exchanges are expected to result in increases in the tax basis of the tangible and intangible assets of Goosehead Financial, LLC. These increases in tax basis may reduce the amount of tax that Goosehead Insurance, Inc. would otherwise be required to pay in the future. We have entered into a tax receivable agreement with the Pre-IPO LLC Members that provides for the payment by us to the Pre-IPO LLC Members of 85% of the amount of cash savings, if any, in U.S. federal, state and local income tax or franchise tax that we actually realize as a result of (i) any increase in tax basis in Goosehead Insurance, Inc.’s assets resulting from (a) the purchase of LLC Units from any of the Pre-IPO LLC Members using the net proceeds from any future offering, (b) redemptions or exchanges by the Pre-IPO LLC Members of LLC Units for shares of our Class A common stock or (c) payments under the tax receivable agreement and (ii) tax benefits related to imputed interest deemed arising as a result of payments made under the tax receivable agreement. This payment obligation is an obligation of Goosehead Insurance, Inc. and not of Goosehead Financial, LLC. For purposes of the tax receivable agreement, the cash tax savings in income tax will be computed by comparing the actual income tax liability of Goosehead Insurance, Inc. (calculated with certain assumptions) to the amount of such taxes that Goosehead Insurance, Inc. would have been required to pay had there been no increase to the tax basis of the assets of Goosehead Financial, LLC as a result of the redemptions or exchanges and had Goosehead Insurance, Inc. not entered into the tax receivable agreement. Estimating the amount of payments that may be made under the tax receivable agreement is by its nature imprecise, insofar as the calculation of amounts payable depends on a variety of factors. While the actual increase in tax basis, as well as the amount and timing of any payments under the tax receivable agreement, will vary depending upon a number of factors, including the timing of redemptions or exchanges, the price of shares of our Class A common stock at the time of the redemption or exchange, the extent to which such redemptions or exchanges are taxable and the amount and timing of our income. See "Item</w:t>
      </w:r>
    </w:p>
    <w:p>
      <w:pPr>
        <w:spacing w:after="0" w:line="13" w:lineRule="exact"/>
        <w:rPr>
          <w:sz w:val="20"/>
          <w:szCs w:val="20"/>
          <w:color w:val="auto"/>
        </w:rPr>
      </w:pPr>
    </w:p>
    <w:p>
      <w:pPr>
        <w:ind w:right="220" w:firstLine="8"/>
        <w:spacing w:after="0" w:line="258" w:lineRule="auto"/>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relationships and related transactions, and director independence" of our Annual Report on Form 10-K. We anticipate that we will account for the effects of these increases in tax basis and associated payments under the tax receivable agreement arising from future redemptions or exchanges as follows:</w:t>
      </w:r>
    </w:p>
    <w:p>
      <w:pPr>
        <w:spacing w:after="0" w:line="66" w:lineRule="exact"/>
        <w:rPr>
          <w:rFonts w:ascii="Arial" w:cs="Arial" w:eastAsia="Arial" w:hAnsi="Arial"/>
          <w:sz w:val="18"/>
          <w:szCs w:val="18"/>
          <w:color w:val="auto"/>
        </w:rPr>
      </w:pPr>
    </w:p>
    <w:p>
      <w:pPr>
        <w:ind w:left="660" w:right="280" w:hanging="328"/>
        <w:spacing w:after="0" w:line="292"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will record an increase in deferred tax assets for the estimated income tax effects of the increases in tax basis based on enacted federal and state tax rates at the date of the redemption or exchange;</w:t>
      </w:r>
    </w:p>
    <w:p>
      <w:pPr>
        <w:spacing w:after="0" w:line="36" w:lineRule="exact"/>
        <w:rPr>
          <w:rFonts w:ascii="Arial" w:cs="Arial" w:eastAsia="Arial" w:hAnsi="Arial"/>
          <w:sz w:val="18"/>
          <w:szCs w:val="18"/>
          <w:color w:val="auto"/>
        </w:rPr>
      </w:pPr>
    </w:p>
    <w:p>
      <w:pPr>
        <w:ind w:left="660" w:right="100" w:hanging="328"/>
        <w:spacing w:after="0" w:line="323"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to the extent we estimate that we will not realize the full benefit represented by the deferred tax asset, based on an analysis that will consider, among other things, our expectation of future earnings, we will reduce the deferred tax asset with a valuation allowance; and</w:t>
      </w:r>
    </w:p>
    <w:p>
      <w:pPr>
        <w:spacing w:after="0" w:line="14" w:lineRule="exact"/>
        <w:rPr>
          <w:rFonts w:ascii="Arial" w:cs="Arial" w:eastAsia="Arial" w:hAnsi="Arial"/>
          <w:sz w:val="17"/>
          <w:szCs w:val="17"/>
          <w:color w:val="auto"/>
        </w:rPr>
      </w:pPr>
    </w:p>
    <w:p>
      <w:pPr>
        <w:ind w:left="660" w:right="20" w:hanging="328"/>
        <w:spacing w:after="0" w:line="271"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will record 85% of the estimated realizable tax benefit (which is the recorded deferred tax asset less any recorded valuation allowance) as an increase to the liability due under the tax receivable agreement and the remaining 15% of the estimated realizable tax benefit as an increase to additional paid-in capital.</w:t>
      </w:r>
    </w:p>
    <w:p>
      <w:pPr>
        <w:spacing w:after="0" w:line="55"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All of the effects of changes in any of our estimates after the date of the redemption or exchange will be included in net income. Similarly, the effect of subsequent changes in the enacted tax rates will be included in net income.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represents our contractual obligations as of March 31, 2019, aggregated by type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8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54"/>
        </w:trPr>
        <w:tc>
          <w:tcPr>
            <w:tcW w:w="4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340" w:type="dxa"/>
            <w:vAlign w:val="bottom"/>
            <w:tcBorders>
              <w:bottom w:val="single" w:sz="8" w:color="auto"/>
            </w:tcBorders>
            <w:gridSpan w:val="13"/>
          </w:tcPr>
          <w:p>
            <w:pPr>
              <w:jc w:val="right"/>
              <w:ind w:right="710"/>
              <w:spacing w:after="0"/>
              <w:rPr>
                <w:sz w:val="20"/>
                <w:szCs w:val="20"/>
                <w:color w:val="auto"/>
              </w:rPr>
            </w:pPr>
            <w:r>
              <w:rPr>
                <w:rFonts w:ascii="Arial" w:cs="Arial" w:eastAsia="Arial" w:hAnsi="Arial"/>
                <w:sz w:val="18"/>
                <w:szCs w:val="18"/>
                <w:b w:val="1"/>
                <w:bCs w:val="1"/>
                <w:color w:val="auto"/>
              </w:rPr>
              <w:t>Contractual obligations, commitments and contingencies</w:t>
            </w:r>
          </w:p>
        </w:tc>
      </w:tr>
      <w:tr>
        <w:trPr>
          <w:trHeight w:val="199"/>
        </w:trPr>
        <w:tc>
          <w:tcPr>
            <w:tcW w:w="4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40"/>
              <w:spacing w:after="0" w:line="199" w:lineRule="exact"/>
              <w:rPr>
                <w:sz w:val="20"/>
                <w:szCs w:val="20"/>
                <w:color w:val="auto"/>
              </w:rPr>
            </w:pPr>
            <w:r>
              <w:rPr>
                <w:rFonts w:ascii="Arial" w:cs="Arial" w:eastAsia="Arial" w:hAnsi="Arial"/>
                <w:sz w:val="18"/>
                <w:szCs w:val="18"/>
                <w:b w:val="1"/>
                <w:bCs w:val="1"/>
                <w:color w:val="auto"/>
              </w:rPr>
              <w:t>Less than</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70"/>
              <w:spacing w:after="0" w:line="199" w:lineRule="exact"/>
              <w:rPr>
                <w:sz w:val="20"/>
                <w:szCs w:val="20"/>
                <w:color w:val="auto"/>
              </w:rPr>
            </w:pPr>
            <w:r>
              <w:rPr>
                <w:rFonts w:ascii="Arial" w:cs="Arial" w:eastAsia="Arial" w:hAnsi="Arial"/>
                <w:sz w:val="18"/>
                <w:szCs w:val="18"/>
                <w:b w:val="1"/>
                <w:bCs w:val="1"/>
                <w:color w:val="auto"/>
              </w:rPr>
              <w:t>More than</w:t>
            </w:r>
          </w:p>
        </w:tc>
      </w:tr>
      <w:tr>
        <w:trPr>
          <w:trHeight w:val="254"/>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 year</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1-3 years</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3-5 years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5 years</w:t>
            </w:r>
          </w:p>
        </w:tc>
      </w:tr>
      <w:tr>
        <w:trPr>
          <w:trHeight w:val="251"/>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r>
              <w:rPr>
                <w:rFonts w:ascii="Arial" w:cs="Arial" w:eastAsia="Arial" w:hAnsi="Arial"/>
                <w:sz w:val="21"/>
                <w:szCs w:val="21"/>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23,641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11,015</w:t>
            </w:r>
          </w:p>
        </w:tc>
      </w:tr>
      <w:tr>
        <w:trPr>
          <w:trHeight w:val="270"/>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Debt obligations payable</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48,500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45,750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4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46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Liabilities under the tax receivable agreement</w:t>
            </w:r>
            <w:r>
              <w:rPr>
                <w:rFonts w:ascii="Arial" w:cs="Arial" w:eastAsia="Arial" w:hAnsi="Arial"/>
                <w:sz w:val="21"/>
                <w:szCs w:val="21"/>
                <w:color w:val="auto"/>
                <w:vertAlign w:val="superscript"/>
              </w:rPr>
              <w:t>(4)</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6,863</w:t>
            </w: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5,351</w:t>
            </w:r>
          </w:p>
        </w:tc>
      </w:tr>
      <w:tr>
        <w:trPr>
          <w:trHeight w:val="259"/>
        </w:trPr>
        <w:tc>
          <w:tcPr>
            <w:tcW w:w="46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84,912</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6,816</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55,693</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6,037</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16,366</w:t>
            </w:r>
          </w:p>
        </w:tc>
      </w:tr>
    </w:tbl>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12660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17145"/>
                    </a:xfrm>
                    <a:prstGeom prst="rect">
                      <a:avLst/>
                    </a:prstGeom>
                    <a:noFill/>
                  </pic:spPr>
                </pic:pic>
              </a:graphicData>
            </a:graphic>
          </wp:anchor>
        </w:drawing>
      </w:r>
    </w:p>
    <w:p>
      <w:pPr>
        <w:ind w:left="360" w:right="20" w:hanging="325"/>
        <w:spacing w:after="0" w:line="255" w:lineRule="auto"/>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leases its facilities under non-cancelable operating leases. In addition to monthly lease payments, the lease agreements require the Company to reimburse the lessors for its portion of operating costs each year. Rent expense was $447 thousand and $405 thousand for the three months ended March 31, 2019 and 2018.</w:t>
      </w:r>
    </w:p>
    <w:p>
      <w:pPr>
        <w:ind w:left="360" w:right="40" w:hanging="325"/>
        <w:spacing w:after="0" w:line="241" w:lineRule="auto"/>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 refinanced its credit facilities on August 3, 2018 in the form of a $40 million term loan and $13 million revolving credit facility, of which $10 million was drawn as of March 31, 2019. The refinancing decreased the Company's borrowing costs by 300 bps and shortened the term loan maturity to 3 years.</w:t>
      </w:r>
    </w:p>
    <w:p>
      <w:pPr>
        <w:ind w:left="360" w:right="480" w:hanging="325"/>
        <w:spacing w:after="0" w:line="241" w:lineRule="auto"/>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Interest payments on our outstanding debt obligations under our credit agreement. Our debt obligations have variable interest rates. We have calculated future interest obligations based on the interest rate for our debt obligations as of March 31, 2019.</w:t>
      </w:r>
    </w:p>
    <w:p>
      <w:pPr>
        <w:ind w:left="360" w:hanging="325"/>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"Item 2. Management's discussion and analysis of financial condition and results of operation - Tax receivable agreement."</w:t>
      </w: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112"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 except for those described under “Contractual obligations, commitments and contingencies” above.</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11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discussion and analysis of our consolidated financial condition and results of operations is based upon the accompanying condensed consolidated financial statements and notes thereto, which have been prepared in accordance with GAAP. The preparation of the condensed consolidated financial statements requires us to make estimates, judgments and assumptions, which we believe to be reasonable, based on the information available. These estimates and assumptions affect the reported amounts of assets, liabilities, revenues and expenses, and related disclosures of contingent assets and liabilities. Variances in the estimates or assumptions used to actual experience could yield materially different accounting results. On an ongoing basis, we evaluate the continued appropriateness of our accounting policies and resulting estimates to make adjustments we consider appropriate under the facts and circumstances. There have been no significant changes to our critical accounting policies as disclosed in the Annual Report on Form 10-K.</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12"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See "Note 2: Summary of Significant Accounting Policies—Recently Issued Accounting Pronouncements” under Part I, Item 1 of this Form 10-Q.</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Emerging growth company</w:t>
      </w:r>
    </w:p>
    <w:p>
      <w:pPr>
        <w:spacing w:after="0" w:line="11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JOBS Act, an emerging growth company is provided the option to adopt new or revised accounting standards that may be issued by FASB or the SEC either (i) within the same periods as those otherwise applicable to non-emerging growth companies or (ii) within the same time periods as private companies. We intend to take advantage of the exemption for complying with new or revised accounting standards within the same time periods as private companies. Accordingly, the information contained herein may be different than the information you receive from other public companies.</w:t>
      </w:r>
    </w:p>
    <w:p>
      <w:pPr>
        <w:spacing w:after="0" w:line="6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also intend take advantage of some of the reduced regulatory and reporting requirements of emerging growth companies pursuant to the JOBS Act so long as we qualify as an emerging growth company, including, but not limited to, not being required to comply with the auditor attestation requirements of Section 404(b) of the Sarbanes-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76" w:right="239" w:bottom="1440" w:gutter="0" w:footer="0" w:header="0"/>
        </w:sectPr>
      </w:pPr>
    </w:p>
    <w:bookmarkStart w:id="32" w:name="page33"/>
    <w:bookmarkEnd w:id="32"/>
    <w:p>
      <w:pPr>
        <w:ind w:right="180"/>
        <w:spacing w:after="0" w:line="292" w:lineRule="auto"/>
        <w:rPr>
          <w:sz w:val="20"/>
          <w:szCs w:val="20"/>
          <w:color w:val="auto"/>
        </w:rPr>
      </w:pPr>
      <w:r>
        <w:rPr>
          <w:rFonts w:ascii="Arial" w:cs="Arial" w:eastAsia="Arial" w:hAnsi="Arial"/>
          <w:sz w:val="18"/>
          <w:szCs w:val="18"/>
          <w:color w:val="auto"/>
        </w:rPr>
        <w:t>Oxley Act, reduced disclosure obligations regarding executive compensation, and exemptions from the requirements of holding non-binding advisory votes on executive compensation and golden parachute payments.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12"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There have been no material changes to our exposure to market risks as described in "Item 7A. Quantitative and qualitative disclosure of market risks" in the Annual Report on Form 10-K.</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2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the supervision and with the participation of management, including the Chief Executive Officer and Chief Financial Officer, we conducted an evaluation of the effectiveness of our disclosure controls and procedures (as such term is defined in Rules 13a-15(e) and 15d-15(e) under the Exchange Act) as of the end of the period covered by this report. Based on this evaluation, our Chief Executive Officer and Chief Financial Officer have concluded that our disclosure controls and procedures were effective as of March 31, 2019.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to allow timely decisions regarding required disclosure.</w:t>
      </w:r>
    </w:p>
    <w:p>
      <w:pPr>
        <w:spacing w:after="0" w:line="70"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March 31, 2019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684" w:right="37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PART II</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to Part I, Item I, Note 13. Litigation.</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with respect to the risk factors disclosed in the Annual Report on Form 10-K.</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576" w:right="1440"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Item 6. Exhibits</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40" w:type="dxa"/>
            <w:vAlign w:val="bottom"/>
            <w:tcBorders>
              <w:bottom w:val="single" w:sz="8" w:color="0000FF"/>
            </w:tcBorders>
            <w:gridSpan w:val="2"/>
          </w:tcPr>
          <w:p>
            <w:pPr>
              <w:spacing w:after="0"/>
              <w:rPr>
                <w:rFonts w:ascii="Arial" w:cs="Arial" w:eastAsia="Arial" w:hAnsi="Arial"/>
                <w:sz w:val="18"/>
                <w:szCs w:val="18"/>
                <w:color w:val="0000FF"/>
                <w:w w:val="97"/>
              </w:rPr>
            </w:pPr>
            <w:hyperlink w:anchor="page36">
              <w:r>
                <w:rPr>
                  <w:rFonts w:ascii="Arial" w:cs="Arial" w:eastAsia="Arial" w:hAnsi="Arial"/>
                  <w:sz w:val="18"/>
                  <w:szCs w:val="18"/>
                  <w:color w:val="0000FF"/>
                  <w:w w:val="97"/>
                </w:rPr>
                <w:t>Exhibit 31.1</w:t>
              </w:r>
            </w:hyperlink>
          </w:p>
        </w:tc>
        <w:tc>
          <w:tcPr>
            <w:tcW w:w="1900" w:type="dxa"/>
            <w:vAlign w:val="bottom"/>
          </w:tcPr>
          <w:p>
            <w:pPr>
              <w:spacing w:after="0"/>
              <w:rPr>
                <w:sz w:val="17"/>
                <w:szCs w:val="17"/>
                <w:color w:val="auto"/>
              </w:rPr>
            </w:pPr>
          </w:p>
        </w:tc>
        <w:tc>
          <w:tcPr>
            <w:tcW w:w="792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36">
              <w:r>
                <w:rPr>
                  <w:rFonts w:ascii="Arial" w:cs="Arial" w:eastAsia="Arial" w:hAnsi="Arial"/>
                  <w:sz w:val="18"/>
                  <w:szCs w:val="18"/>
                  <w:color w:val="0000FF"/>
                  <w:w w:val="99"/>
                </w:rPr>
                <w:t>Certifications of Chief Executive Officer pursuant to Section 302 of the Sarbanes-Oxley Act of 2002.</w:t>
              </w:r>
            </w:hyperlink>
          </w:p>
        </w:tc>
        <w:tc>
          <w:tcPr>
            <w:tcW w:w="0" w:type="dxa"/>
            <w:vAlign w:val="bottom"/>
          </w:tcPr>
          <w:p>
            <w:pPr>
              <w:spacing w:after="0"/>
              <w:rPr>
                <w:sz w:val="1"/>
                <w:szCs w:val="1"/>
                <w:color w:val="auto"/>
              </w:rPr>
            </w:pPr>
          </w:p>
        </w:tc>
      </w:tr>
      <w:tr>
        <w:trPr>
          <w:trHeight w:val="237"/>
        </w:trPr>
        <w:tc>
          <w:tcPr>
            <w:tcW w:w="940" w:type="dxa"/>
            <w:vAlign w:val="bottom"/>
            <w:gridSpan w:val="2"/>
          </w:tcPr>
          <w:p>
            <w:pPr>
              <w:spacing w:after="0"/>
              <w:rPr>
                <w:rFonts w:ascii="Arial" w:cs="Arial" w:eastAsia="Arial" w:hAnsi="Arial"/>
                <w:sz w:val="18"/>
                <w:szCs w:val="18"/>
                <w:color w:val="0000FF"/>
                <w:w w:val="97"/>
              </w:rPr>
            </w:pPr>
            <w:hyperlink w:anchor="page37">
              <w:r>
                <w:rPr>
                  <w:rFonts w:ascii="Arial" w:cs="Arial" w:eastAsia="Arial" w:hAnsi="Arial"/>
                  <w:sz w:val="18"/>
                  <w:szCs w:val="18"/>
                  <w:color w:val="0000FF"/>
                  <w:w w:val="97"/>
                </w:rPr>
                <w:t>Exhibit 31.2</w:t>
              </w:r>
            </w:hyperlink>
          </w:p>
        </w:tc>
        <w:tc>
          <w:tcPr>
            <w:tcW w:w="1900" w:type="dxa"/>
            <w:vAlign w:val="bottom"/>
          </w:tcPr>
          <w:p>
            <w:pPr>
              <w:spacing w:after="0"/>
              <w:rPr>
                <w:sz w:val="20"/>
                <w:szCs w:val="20"/>
                <w:color w:val="auto"/>
              </w:rPr>
            </w:pPr>
          </w:p>
        </w:tc>
        <w:tc>
          <w:tcPr>
            <w:tcW w:w="7920" w:type="dxa"/>
            <w:vAlign w:val="bottom"/>
            <w:gridSpan w:val="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Certifications of Chief Financial Officer pursuant to Section 302 of the Sarbanes-Oxley Act of 2002.</w:t>
              </w:r>
            </w:hyperlink>
          </w:p>
        </w:tc>
        <w:tc>
          <w:tcPr>
            <w:tcW w:w="0" w:type="dxa"/>
            <w:vAlign w:val="bottom"/>
          </w:tcPr>
          <w:p>
            <w:pPr>
              <w:spacing w:after="0"/>
              <w:rPr>
                <w:sz w:val="1"/>
                <w:szCs w:val="1"/>
                <w:color w:val="auto"/>
              </w:rPr>
            </w:pPr>
          </w:p>
        </w:tc>
      </w:tr>
      <w:tr>
        <w:trPr>
          <w:trHeight w:val="237"/>
        </w:trPr>
        <w:tc>
          <w:tcPr>
            <w:tcW w:w="940" w:type="dxa"/>
            <w:vAlign w:val="bottom"/>
            <w:tcBorders>
              <w:top w:val="single" w:sz="8" w:color="0000FF"/>
            </w:tcBorders>
            <w:gridSpan w:val="2"/>
            <w:vMerge w:val="restart"/>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Exhibit 32</w:t>
              </w:r>
            </w:hyperlink>
          </w:p>
        </w:tc>
        <w:tc>
          <w:tcPr>
            <w:tcW w:w="1900" w:type="dxa"/>
            <w:vAlign w:val="bottom"/>
          </w:tcPr>
          <w:p>
            <w:pPr>
              <w:spacing w:after="0"/>
              <w:rPr>
                <w:sz w:val="20"/>
                <w:szCs w:val="20"/>
                <w:color w:val="auto"/>
              </w:rPr>
            </w:pPr>
          </w:p>
        </w:tc>
        <w:tc>
          <w:tcPr>
            <w:tcW w:w="7860" w:type="dxa"/>
            <w:vAlign w:val="bottom"/>
            <w:tcBorders>
              <w:top w:val="single" w:sz="8" w:color="0000FF"/>
            </w:tcBorders>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Certifications of Chief Executive Officer and Chief Financial Officer pursuant to Section 906 of the</w:t>
              </w:r>
            </w:hyperlink>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40" w:type="dxa"/>
            <w:vAlign w:val="bottom"/>
            <w:tcBorders>
              <w:top w:val="single" w:sz="8" w:color="0000FF"/>
            </w:tcBorders>
            <w:gridSpan w:val="2"/>
            <w:vMerge w:val="continue"/>
          </w:tcPr>
          <w:p>
            <w:pPr>
              <w:spacing w:after="0"/>
              <w:rPr>
                <w:sz w:val="15"/>
                <w:szCs w:val="15"/>
                <w:color w:val="auto"/>
              </w:rPr>
            </w:pPr>
          </w:p>
        </w:tc>
        <w:tc>
          <w:tcPr>
            <w:tcW w:w="1900" w:type="dxa"/>
            <w:vAlign w:val="bottom"/>
          </w:tcPr>
          <w:p>
            <w:pPr>
              <w:spacing w:after="0"/>
              <w:rPr>
                <w:sz w:val="15"/>
                <w:szCs w:val="15"/>
                <w:color w:val="auto"/>
              </w:rPr>
            </w:pPr>
          </w:p>
        </w:tc>
        <w:tc>
          <w:tcPr>
            <w:tcW w:w="7740" w:type="dxa"/>
            <w:vAlign w:val="bottom"/>
            <w:tcBorders>
              <w:top w:val="single" w:sz="8" w:color="0000FF"/>
            </w:tcBorders>
            <w:gridSpan w:val="2"/>
          </w:tcPr>
          <w:p>
            <w:pPr>
              <w:spacing w:after="0" w:line="182" w:lineRule="exact"/>
              <w:rPr>
                <w:rFonts w:ascii="Arial" w:cs="Arial" w:eastAsia="Arial" w:hAnsi="Arial"/>
                <w:sz w:val="18"/>
                <w:szCs w:val="18"/>
                <w:color w:val="0000FF"/>
              </w:rPr>
            </w:pPr>
            <w:hyperlink w:anchor="page38">
              <w:r>
                <w:rPr>
                  <w:rFonts w:ascii="Arial" w:cs="Arial" w:eastAsia="Arial" w:hAnsi="Arial"/>
                  <w:sz w:val="18"/>
                  <w:szCs w:val="18"/>
                  <w:color w:val="0000FF"/>
                </w:rPr>
                <w:t>Sarbanes-Oxley Act of 2002.</w:t>
              </w:r>
            </w:hyperlink>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7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0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XBRL Instance Document</w:t>
            </w:r>
          </w:p>
        </w:tc>
        <w:tc>
          <w:tcPr>
            <w:tcW w:w="56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900" w:type="dxa"/>
            <w:vAlign w:val="bottom"/>
          </w:tcPr>
          <w:p>
            <w:pPr>
              <w:spacing w:after="0"/>
              <w:rPr>
                <w:sz w:val="22"/>
                <w:szCs w:val="22"/>
                <w:color w:val="auto"/>
              </w:rPr>
            </w:pPr>
          </w:p>
        </w:tc>
        <w:tc>
          <w:tcPr>
            <w:tcW w:w="7920" w:type="dxa"/>
            <w:vAlign w:val="bottom"/>
            <w:gridSpan w:val="4"/>
          </w:tcPr>
          <w:p>
            <w:pPr>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257"/>
        </w:trPr>
        <w:tc>
          <w:tcPr>
            <w:tcW w:w="9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900" w:type="dxa"/>
            <w:vAlign w:val="bottom"/>
          </w:tcPr>
          <w:p>
            <w:pPr>
              <w:spacing w:after="0"/>
              <w:rPr>
                <w:sz w:val="22"/>
                <w:szCs w:val="22"/>
                <w:color w:val="auto"/>
              </w:rPr>
            </w:pPr>
          </w:p>
        </w:tc>
        <w:tc>
          <w:tcPr>
            <w:tcW w:w="7920" w:type="dxa"/>
            <w:vAlign w:val="bottom"/>
            <w:gridSpan w:val="4"/>
          </w:tcPr>
          <w:p>
            <w:pPr>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257"/>
        </w:trPr>
        <w:tc>
          <w:tcPr>
            <w:tcW w:w="9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900" w:type="dxa"/>
            <w:vAlign w:val="bottom"/>
          </w:tcPr>
          <w:p>
            <w:pPr>
              <w:spacing w:after="0"/>
              <w:rPr>
                <w:sz w:val="22"/>
                <w:szCs w:val="22"/>
                <w:color w:val="auto"/>
              </w:rPr>
            </w:pPr>
          </w:p>
        </w:tc>
        <w:tc>
          <w:tcPr>
            <w:tcW w:w="7920" w:type="dxa"/>
            <w:vAlign w:val="bottom"/>
            <w:gridSpan w:val="4"/>
          </w:tcPr>
          <w:p>
            <w:pPr>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r>
        <w:trPr>
          <w:trHeight w:val="257"/>
        </w:trPr>
        <w:tc>
          <w:tcPr>
            <w:tcW w:w="9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900" w:type="dxa"/>
            <w:vAlign w:val="bottom"/>
          </w:tcPr>
          <w:p>
            <w:pPr>
              <w:spacing w:after="0"/>
              <w:rPr>
                <w:sz w:val="22"/>
                <w:szCs w:val="22"/>
                <w:color w:val="auto"/>
              </w:rPr>
            </w:pPr>
          </w:p>
        </w:tc>
        <w:tc>
          <w:tcPr>
            <w:tcW w:w="7920" w:type="dxa"/>
            <w:vAlign w:val="bottom"/>
            <w:gridSpan w:val="4"/>
          </w:tcPr>
          <w:p>
            <w:pPr>
              <w:spacing w:after="0"/>
              <w:rPr>
                <w:sz w:val="20"/>
                <w:szCs w:val="20"/>
                <w:color w:val="auto"/>
              </w:rPr>
            </w:pPr>
            <w:r>
              <w:rPr>
                <w:rFonts w:ascii="Arial" w:cs="Arial" w:eastAsia="Arial" w:hAnsi="Arial"/>
                <w:sz w:val="18"/>
                <w:szCs w:val="18"/>
                <w:color w:val="auto"/>
              </w:rPr>
              <w:t>XBRL Label Linkbase Document</w:t>
            </w:r>
          </w:p>
        </w:tc>
        <w:tc>
          <w:tcPr>
            <w:tcW w:w="0" w:type="dxa"/>
            <w:vAlign w:val="bottom"/>
          </w:tcPr>
          <w:p>
            <w:pPr>
              <w:spacing w:after="0"/>
              <w:rPr>
                <w:sz w:val="1"/>
                <w:szCs w:val="1"/>
                <w:color w:val="auto"/>
              </w:rPr>
            </w:pPr>
          </w:p>
        </w:tc>
      </w:tr>
      <w:tr>
        <w:trPr>
          <w:trHeight w:val="257"/>
        </w:trPr>
        <w:tc>
          <w:tcPr>
            <w:tcW w:w="9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900" w:type="dxa"/>
            <w:vAlign w:val="bottom"/>
          </w:tcPr>
          <w:p>
            <w:pPr>
              <w:spacing w:after="0"/>
              <w:rPr>
                <w:sz w:val="22"/>
                <w:szCs w:val="22"/>
                <w:color w:val="auto"/>
              </w:rPr>
            </w:pPr>
          </w:p>
        </w:tc>
        <w:tc>
          <w:tcPr>
            <w:tcW w:w="7920" w:type="dxa"/>
            <w:vAlign w:val="bottom"/>
            <w:gridSpan w:val="4"/>
          </w:tcPr>
          <w:p>
            <w:pPr>
              <w:spacing w:after="0"/>
              <w:rPr>
                <w:sz w:val="20"/>
                <w:szCs w:val="20"/>
                <w:color w:val="auto"/>
              </w:rPr>
            </w:pPr>
            <w:r>
              <w:rPr>
                <w:rFonts w:ascii="Arial" w:cs="Arial" w:eastAsia="Arial" w:hAnsi="Arial"/>
                <w:sz w:val="18"/>
                <w:szCs w:val="18"/>
                <w:color w:val="auto"/>
              </w:rPr>
              <w:t>XBRL Presentation Linkbase</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60"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Pursuant to the requirements of the Securities Exchange Act of 1934, we have duly caused this report to be signed on our behalf by the undersigned thereunto duly authorized.</w:t>
      </w:r>
    </w:p>
    <w:p>
      <w:pPr>
        <w:spacing w:after="0" w:line="320" w:lineRule="exact"/>
        <w:rPr>
          <w:sz w:val="20"/>
          <w:szCs w:val="20"/>
          <w:color w:val="auto"/>
        </w:rPr>
      </w:pPr>
    </w:p>
    <w:tbl>
      <w:tblPr>
        <w:tblLayout w:type="fixed"/>
        <w:tblInd w:w="1180" w:type="dxa"/>
        <w:tblCellMar>
          <w:top w:w="0" w:type="dxa"/>
          <w:left w:w="0" w:type="dxa"/>
          <w:bottom w:w="0" w:type="dxa"/>
          <w:right w:w="0" w:type="dxa"/>
        </w:tblCellMar>
      </w:tblPr>
      <w:tr>
        <w:trPr>
          <w:trHeight w:val="243"/>
        </w:trPr>
        <w:tc>
          <w:tcPr>
            <w:tcW w:w="1920" w:type="dxa"/>
            <w:vAlign w:val="bottom"/>
          </w:tcPr>
          <w:p>
            <w:pPr>
              <w:spacing w:after="0"/>
              <w:rPr>
                <w:sz w:val="21"/>
                <w:szCs w:val="21"/>
                <w:color w:val="auto"/>
              </w:rPr>
            </w:pPr>
          </w:p>
        </w:tc>
        <w:tc>
          <w:tcPr>
            <w:tcW w:w="8000" w:type="dxa"/>
            <w:vAlign w:val="bottom"/>
            <w:gridSpan w:val="2"/>
          </w:tcPr>
          <w:p>
            <w:pPr>
              <w:ind w:left="2540"/>
              <w:spacing w:after="0"/>
              <w:rPr>
                <w:sz w:val="20"/>
                <w:szCs w:val="20"/>
                <w:color w:val="auto"/>
              </w:rPr>
            </w:pPr>
            <w:r>
              <w:rPr>
                <w:rFonts w:ascii="Arial" w:cs="Arial" w:eastAsia="Arial" w:hAnsi="Arial"/>
                <w:sz w:val="18"/>
                <w:szCs w:val="18"/>
                <w:color w:val="auto"/>
              </w:rPr>
              <w:t>GOOSEHEAD INSURANCE, INC.</w:t>
            </w:r>
          </w:p>
        </w:tc>
      </w:tr>
      <w:tr>
        <w:trPr>
          <w:trHeight w:val="531"/>
        </w:trPr>
        <w:tc>
          <w:tcPr>
            <w:tcW w:w="1920" w:type="dxa"/>
            <w:vAlign w:val="bottom"/>
          </w:tcPr>
          <w:p>
            <w:pPr>
              <w:spacing w:after="0"/>
              <w:rPr>
                <w:sz w:val="20"/>
                <w:szCs w:val="20"/>
                <w:color w:val="auto"/>
              </w:rPr>
            </w:pPr>
            <w:r>
              <w:rPr>
                <w:rFonts w:ascii="Arial" w:cs="Arial" w:eastAsia="Arial" w:hAnsi="Arial"/>
                <w:sz w:val="18"/>
                <w:szCs w:val="18"/>
                <w:color w:val="auto"/>
              </w:rPr>
              <w:t>Date:</w:t>
            </w:r>
          </w:p>
        </w:tc>
        <w:tc>
          <w:tcPr>
            <w:tcW w:w="2940" w:type="dxa"/>
            <w:vAlign w:val="bottom"/>
          </w:tcPr>
          <w:p>
            <w:pPr>
              <w:ind w:left="1500"/>
              <w:spacing w:after="0"/>
              <w:rPr>
                <w:sz w:val="20"/>
                <w:szCs w:val="20"/>
                <w:color w:val="auto"/>
              </w:rPr>
            </w:pPr>
            <w:r>
              <w:rPr>
                <w:rFonts w:ascii="Arial" w:cs="Arial" w:eastAsia="Arial" w:hAnsi="Arial"/>
                <w:sz w:val="18"/>
                <w:szCs w:val="18"/>
                <w:color w:val="auto"/>
              </w:rPr>
              <w:t>May 2, 2019 By:</w:t>
            </w:r>
          </w:p>
        </w:tc>
        <w:tc>
          <w:tcPr>
            <w:tcW w:w="50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Mark E. Jones</w:t>
            </w:r>
          </w:p>
        </w:tc>
      </w:tr>
      <w:tr>
        <w:trPr>
          <w:trHeight w:val="245"/>
        </w:trPr>
        <w:tc>
          <w:tcPr>
            <w:tcW w:w="19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Mark E. Jones</w:t>
            </w:r>
          </w:p>
        </w:tc>
      </w:tr>
      <w:tr>
        <w:trPr>
          <w:trHeight w:val="270"/>
        </w:trPr>
        <w:tc>
          <w:tcPr>
            <w:tcW w:w="19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19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(Principal Executive Officer)</w:t>
            </w:r>
          </w:p>
        </w:tc>
      </w:tr>
      <w:tr>
        <w:trPr>
          <w:trHeight w:val="531"/>
        </w:trPr>
        <w:tc>
          <w:tcPr>
            <w:tcW w:w="1920" w:type="dxa"/>
            <w:vAlign w:val="bottom"/>
          </w:tcPr>
          <w:p>
            <w:pPr>
              <w:spacing w:after="0"/>
              <w:rPr>
                <w:sz w:val="20"/>
                <w:szCs w:val="20"/>
                <w:color w:val="auto"/>
              </w:rPr>
            </w:pPr>
            <w:r>
              <w:rPr>
                <w:rFonts w:ascii="Arial" w:cs="Arial" w:eastAsia="Arial" w:hAnsi="Arial"/>
                <w:sz w:val="18"/>
                <w:szCs w:val="18"/>
                <w:color w:val="auto"/>
              </w:rPr>
              <w:t>Date:</w:t>
            </w:r>
          </w:p>
        </w:tc>
        <w:tc>
          <w:tcPr>
            <w:tcW w:w="2940" w:type="dxa"/>
            <w:vAlign w:val="bottom"/>
          </w:tcPr>
          <w:p>
            <w:pPr>
              <w:ind w:left="1500"/>
              <w:spacing w:after="0"/>
              <w:rPr>
                <w:sz w:val="20"/>
                <w:szCs w:val="20"/>
                <w:color w:val="auto"/>
              </w:rPr>
            </w:pPr>
            <w:r>
              <w:rPr>
                <w:rFonts w:ascii="Arial" w:cs="Arial" w:eastAsia="Arial" w:hAnsi="Arial"/>
                <w:sz w:val="18"/>
                <w:szCs w:val="18"/>
                <w:color w:val="auto"/>
              </w:rPr>
              <w:t>May 2, 2019 By:</w:t>
            </w:r>
          </w:p>
        </w:tc>
        <w:tc>
          <w:tcPr>
            <w:tcW w:w="50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Mark S. Colby</w:t>
            </w:r>
          </w:p>
        </w:tc>
      </w:tr>
      <w:tr>
        <w:trPr>
          <w:trHeight w:val="245"/>
        </w:trPr>
        <w:tc>
          <w:tcPr>
            <w:tcW w:w="19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Mark S. Colby</w:t>
            </w:r>
          </w:p>
        </w:tc>
      </w:tr>
      <w:tr>
        <w:trPr>
          <w:trHeight w:val="270"/>
        </w:trPr>
        <w:tc>
          <w:tcPr>
            <w:tcW w:w="19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r>
        <w:trPr>
          <w:trHeight w:val="270"/>
        </w:trPr>
        <w:tc>
          <w:tcPr>
            <w:tcW w:w="19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729"/>
        </w:trPr>
        <w:tc>
          <w:tcPr>
            <w:tcW w:w="1920" w:type="dxa"/>
            <w:vAlign w:val="bottom"/>
          </w:tcPr>
          <w:p>
            <w:pPr>
              <w:spacing w:after="0"/>
              <w:rPr>
                <w:sz w:val="24"/>
                <w:szCs w:val="24"/>
                <w:color w:val="auto"/>
              </w:rPr>
            </w:pPr>
          </w:p>
        </w:tc>
        <w:tc>
          <w:tcPr>
            <w:tcW w:w="2940" w:type="dxa"/>
            <w:vAlign w:val="bottom"/>
          </w:tcPr>
          <w:p>
            <w:pPr>
              <w:ind w:left="2520"/>
              <w:spacing w:after="0"/>
              <w:rPr>
                <w:sz w:val="20"/>
                <w:szCs w:val="20"/>
                <w:color w:val="auto"/>
              </w:rPr>
            </w:pPr>
            <w:r>
              <w:rPr>
                <w:rFonts w:ascii="Arial" w:cs="Arial" w:eastAsia="Arial" w:hAnsi="Arial"/>
                <w:sz w:val="18"/>
                <w:szCs w:val="18"/>
                <w:color w:val="auto"/>
              </w:rPr>
              <w:t>35</w:t>
            </w:r>
          </w:p>
        </w:tc>
        <w:tc>
          <w:tcPr>
            <w:tcW w:w="5060" w:type="dxa"/>
            <w:vAlign w:val="bottom"/>
          </w:tcPr>
          <w:p>
            <w:pPr>
              <w:spacing w:after="0"/>
              <w:rPr>
                <w:sz w:val="24"/>
                <w:szCs w:val="24"/>
                <w:color w:val="auto"/>
              </w:rPr>
            </w:pPr>
          </w:p>
        </w:tc>
      </w:tr>
    </w:tbl>
    <w:p>
      <w:pPr>
        <w:sectPr>
          <w:pgSz w:w="11900" w:h="16838" w:orient="portrait"/>
          <w:cols w:equalWidth="0" w:num="1">
            <w:col w:w="11420"/>
          </w:cols>
          <w:pgMar w:left="240" w:top="684" w:right="239" w:bottom="1440" w:gutter="0" w:footer="0" w:header="0"/>
        </w:sectPr>
      </w:pPr>
    </w:p>
    <w:bookmarkStart w:id="35" w:name="page36"/>
    <w:bookmarkEnd w:id="35"/>
    <w:p>
      <w:pPr>
        <w:spacing w:after="0"/>
        <w:rPr>
          <w:sz w:val="20"/>
          <w:szCs w:val="20"/>
          <w:color w:val="auto"/>
        </w:rPr>
      </w:pPr>
      <w:r>
        <w:rPr>
          <w:rFonts w:ascii="Arial" w:cs="Arial" w:eastAsia="Arial" w:hAnsi="Arial"/>
          <w:sz w:val="22"/>
          <w:szCs w:val="22"/>
          <w:b w:val="1"/>
          <w:bCs w:val="1"/>
          <w:color w:val="auto"/>
        </w:rPr>
        <w:t>Exhibit 31.1</w:t>
      </w:r>
    </w:p>
    <w:p>
      <w:pPr>
        <w:spacing w:after="0" w:line="220" w:lineRule="exact"/>
        <w:rPr>
          <w:sz w:val="20"/>
          <w:szCs w:val="20"/>
          <w:color w:val="auto"/>
        </w:rPr>
      </w:pPr>
    </w:p>
    <w:p>
      <w:pPr>
        <w:ind w:right="900"/>
        <w:spacing w:after="0" w:line="293" w:lineRule="auto"/>
        <w:rPr>
          <w:sz w:val="20"/>
          <w:szCs w:val="20"/>
          <w:color w:val="auto"/>
        </w:rPr>
      </w:pPr>
      <w:r>
        <w:rPr>
          <w:rFonts w:ascii="Arial" w:cs="Arial" w:eastAsia="Arial" w:hAnsi="Arial"/>
          <w:sz w:val="22"/>
          <w:szCs w:val="22"/>
          <w:b w:val="1"/>
          <w:bCs w:val="1"/>
          <w:color w:val="auto"/>
        </w:rPr>
        <w:t>Certification of Principal Executive Officer pursuant to Exchange Act Rules 13a-14(a</w:t>
      </w:r>
      <w:r>
        <w:rPr>
          <w:rFonts w:ascii="Arial" w:cs="Arial" w:eastAsia="Arial" w:hAnsi="Arial"/>
          <w:sz w:val="22"/>
          <w:szCs w:val="22"/>
          <w:color w:val="auto"/>
        </w:rPr>
        <w:t>)</w:t>
      </w:r>
      <w:r>
        <w:rPr>
          <w:rFonts w:ascii="Arial" w:cs="Arial" w:eastAsia="Arial" w:hAnsi="Arial"/>
          <w:sz w:val="22"/>
          <w:szCs w:val="22"/>
          <w:b w:val="1"/>
          <w:bCs w:val="1"/>
          <w:color w:val="auto"/>
        </w:rPr>
        <w:t xml:space="preserve"> and 15d-14(a), as adopted pursuant to Section 302 of Sarbanes-Oxley Act of 2002</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Mark E. Jones, certify that:</w:t>
      </w:r>
    </w:p>
    <w:p>
      <w:pPr>
        <w:spacing w:after="0" w:line="228" w:lineRule="exact"/>
        <w:rPr>
          <w:sz w:val="20"/>
          <w:szCs w:val="20"/>
          <w:color w:val="auto"/>
        </w:rPr>
      </w:pPr>
    </w:p>
    <w:p>
      <w:pPr>
        <w:ind w:left="2100" w:hanging="795"/>
        <w:spacing w:after="0" w:line="207" w:lineRule="exact"/>
        <w:tabs>
          <w:tab w:leader="none" w:pos="2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Goosehead Insurance, Inc.;</w:t>
      </w:r>
    </w:p>
    <w:p>
      <w:pPr>
        <w:spacing w:after="0" w:line="289" w:lineRule="exact"/>
        <w:rPr>
          <w:rFonts w:ascii="Arial" w:cs="Arial" w:eastAsia="Arial" w:hAnsi="Arial"/>
          <w:sz w:val="18"/>
          <w:szCs w:val="18"/>
          <w:color w:val="auto"/>
        </w:rPr>
      </w:pPr>
    </w:p>
    <w:p>
      <w:pPr>
        <w:ind w:left="660" w:right="500" w:firstLine="645"/>
        <w:spacing w:after="0" w:line="318" w:lineRule="auto"/>
        <w:tabs>
          <w:tab w:leader="none" w:pos="21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20" w:firstLine="645"/>
        <w:spacing w:after="0" w:line="318" w:lineRule="auto"/>
        <w:tabs>
          <w:tab w:leader="none" w:pos="21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3" w:lineRule="exact"/>
        <w:rPr>
          <w:rFonts w:ascii="Arial" w:cs="Arial" w:eastAsia="Arial" w:hAnsi="Arial"/>
          <w:sz w:val="18"/>
          <w:szCs w:val="18"/>
          <w:color w:val="auto"/>
        </w:rPr>
      </w:pPr>
    </w:p>
    <w:p>
      <w:pPr>
        <w:ind w:left="660" w:right="260" w:firstLine="645"/>
        <w:spacing w:after="0" w:line="258" w:lineRule="exact"/>
        <w:tabs>
          <w:tab w:leader="none" w:pos="21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for the company and have:</w:t>
      </w:r>
    </w:p>
    <w:p>
      <w:pPr>
        <w:spacing w:after="0" w:line="215" w:lineRule="exact"/>
        <w:rPr>
          <w:rFonts w:ascii="Arial" w:cs="Arial" w:eastAsia="Arial" w:hAnsi="Arial"/>
          <w:sz w:val="18"/>
          <w:szCs w:val="18"/>
          <w:color w:val="auto"/>
        </w:rPr>
      </w:pPr>
    </w:p>
    <w:p>
      <w:pPr>
        <w:ind w:left="1300" w:right="20" w:firstLine="653"/>
        <w:spacing w:after="0" w:line="311" w:lineRule="auto"/>
        <w:tabs>
          <w:tab w:leader="none" w:pos="274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9" w:lineRule="exact"/>
        <w:rPr>
          <w:rFonts w:ascii="Arial" w:cs="Arial" w:eastAsia="Arial" w:hAnsi="Arial"/>
          <w:sz w:val="18"/>
          <w:szCs w:val="18"/>
          <w:color w:val="auto"/>
        </w:rPr>
      </w:pPr>
    </w:p>
    <w:p>
      <w:pPr>
        <w:ind w:left="2760" w:hanging="807"/>
        <w:spacing w:after="0"/>
        <w:tabs>
          <w:tab w:leader="none" w:pos="276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300" w:right="220" w:firstLine="653"/>
        <w:spacing w:after="0" w:line="318" w:lineRule="auto"/>
        <w:tabs>
          <w:tab w:leader="none" w:pos="2736"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1300" w:right="220" w:firstLine="653"/>
        <w:spacing w:after="0" w:line="318" w:lineRule="auto"/>
        <w:tabs>
          <w:tab w:leader="none" w:pos="274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63" w:lineRule="exact"/>
        <w:rPr>
          <w:rFonts w:ascii="Arial" w:cs="Arial" w:eastAsia="Arial" w:hAnsi="Arial"/>
          <w:sz w:val="18"/>
          <w:szCs w:val="18"/>
          <w:color w:val="auto"/>
        </w:rPr>
      </w:pPr>
    </w:p>
    <w:p>
      <w:pPr>
        <w:ind w:left="660" w:right="420" w:firstLine="645"/>
        <w:spacing w:after="0" w:line="318" w:lineRule="auto"/>
        <w:tabs>
          <w:tab w:leader="none" w:pos="210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3" w:lineRule="exact"/>
        <w:rPr>
          <w:rFonts w:ascii="Arial" w:cs="Arial" w:eastAsia="Arial" w:hAnsi="Arial"/>
          <w:sz w:val="18"/>
          <w:szCs w:val="18"/>
          <w:color w:val="auto"/>
        </w:rPr>
      </w:pPr>
    </w:p>
    <w:p>
      <w:pPr>
        <w:ind w:left="1300" w:right="440" w:firstLine="653"/>
        <w:spacing w:after="0" w:line="318" w:lineRule="auto"/>
        <w:tabs>
          <w:tab w:leader="none" w:pos="274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3" w:lineRule="exact"/>
        <w:rPr>
          <w:rFonts w:ascii="Arial" w:cs="Arial" w:eastAsia="Arial" w:hAnsi="Arial"/>
          <w:sz w:val="18"/>
          <w:szCs w:val="18"/>
          <w:color w:val="auto"/>
        </w:rPr>
      </w:pPr>
    </w:p>
    <w:p>
      <w:pPr>
        <w:ind w:left="1300" w:right="340" w:firstLine="653"/>
        <w:spacing w:after="0" w:line="339" w:lineRule="auto"/>
        <w:tabs>
          <w:tab w:leader="none" w:pos="274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pacing w:after="0" w:line="225" w:lineRule="exact"/>
        <w:rPr>
          <w:sz w:val="20"/>
          <w:szCs w:val="20"/>
          <w:color w:val="auto"/>
        </w:rPr>
      </w:pPr>
    </w:p>
    <w:p>
      <w:pPr>
        <w:ind w:left="7720"/>
        <w:spacing w:after="0"/>
        <w:rPr>
          <w:sz w:val="20"/>
          <w:szCs w:val="20"/>
          <w:color w:val="auto"/>
        </w:rPr>
      </w:pPr>
      <w:r>
        <w:rPr>
          <w:rFonts w:ascii="Arial" w:cs="Arial" w:eastAsia="Arial" w:hAnsi="Arial"/>
          <w:sz w:val="18"/>
          <w:szCs w:val="18"/>
          <w:u w:val="single" w:color="auto"/>
          <w:color w:val="auto"/>
        </w:rPr>
        <w:t>/s/ Mark E. Jones_______________________</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Mark E. Jones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2" w:right="23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t>Exhibit 31.2</w:t>
      </w:r>
    </w:p>
    <w:p>
      <w:pPr>
        <w:spacing w:after="0" w:line="220" w:lineRule="exact"/>
        <w:rPr>
          <w:sz w:val="20"/>
          <w:szCs w:val="20"/>
          <w:color w:val="auto"/>
        </w:rPr>
      </w:pPr>
    </w:p>
    <w:p>
      <w:pPr>
        <w:ind w:right="900"/>
        <w:spacing w:after="0" w:line="293" w:lineRule="auto"/>
        <w:rPr>
          <w:sz w:val="20"/>
          <w:szCs w:val="20"/>
          <w:color w:val="auto"/>
        </w:rPr>
      </w:pPr>
      <w:r>
        <w:rPr>
          <w:rFonts w:ascii="Arial" w:cs="Arial" w:eastAsia="Arial" w:hAnsi="Arial"/>
          <w:sz w:val="22"/>
          <w:szCs w:val="22"/>
          <w:b w:val="1"/>
          <w:bCs w:val="1"/>
          <w:color w:val="auto"/>
        </w:rPr>
        <w:t>Certification of Principal Executive Officer pursuant to Exchange Act Rules 13a-14(a</w:t>
      </w:r>
      <w:r>
        <w:rPr>
          <w:rFonts w:ascii="Arial" w:cs="Arial" w:eastAsia="Arial" w:hAnsi="Arial"/>
          <w:sz w:val="22"/>
          <w:szCs w:val="22"/>
          <w:color w:val="auto"/>
        </w:rPr>
        <w:t>)</w:t>
      </w:r>
      <w:r>
        <w:rPr>
          <w:rFonts w:ascii="Arial" w:cs="Arial" w:eastAsia="Arial" w:hAnsi="Arial"/>
          <w:sz w:val="22"/>
          <w:szCs w:val="22"/>
          <w:b w:val="1"/>
          <w:bCs w:val="1"/>
          <w:color w:val="auto"/>
        </w:rPr>
        <w:t xml:space="preserve"> and 15d-14(a), as adopted pursuant to Section 302 of Sarbanes-Oxley Act of 2002</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Mark S. Colby, certify that:</w:t>
      </w:r>
    </w:p>
    <w:p>
      <w:pPr>
        <w:spacing w:after="0" w:line="228" w:lineRule="exact"/>
        <w:rPr>
          <w:sz w:val="20"/>
          <w:szCs w:val="20"/>
          <w:color w:val="auto"/>
        </w:rPr>
      </w:pPr>
    </w:p>
    <w:p>
      <w:pPr>
        <w:ind w:left="2100" w:hanging="795"/>
        <w:spacing w:after="0" w:line="207" w:lineRule="exact"/>
        <w:tabs>
          <w:tab w:leader="none" w:pos="2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Goosehead Insurance, Inc.;</w:t>
      </w:r>
    </w:p>
    <w:p>
      <w:pPr>
        <w:spacing w:after="0" w:line="289" w:lineRule="exact"/>
        <w:rPr>
          <w:rFonts w:ascii="Arial" w:cs="Arial" w:eastAsia="Arial" w:hAnsi="Arial"/>
          <w:sz w:val="18"/>
          <w:szCs w:val="18"/>
          <w:color w:val="auto"/>
        </w:rPr>
      </w:pPr>
    </w:p>
    <w:p>
      <w:pPr>
        <w:ind w:left="660" w:right="500" w:firstLine="645"/>
        <w:spacing w:after="0" w:line="318" w:lineRule="auto"/>
        <w:tabs>
          <w:tab w:leader="none" w:pos="21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20" w:firstLine="645"/>
        <w:spacing w:after="0" w:line="318" w:lineRule="auto"/>
        <w:tabs>
          <w:tab w:leader="none" w:pos="21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3" w:lineRule="exact"/>
        <w:rPr>
          <w:rFonts w:ascii="Arial" w:cs="Arial" w:eastAsia="Arial" w:hAnsi="Arial"/>
          <w:sz w:val="18"/>
          <w:szCs w:val="18"/>
          <w:color w:val="auto"/>
        </w:rPr>
      </w:pPr>
    </w:p>
    <w:p>
      <w:pPr>
        <w:ind w:left="660" w:right="260" w:firstLine="645"/>
        <w:spacing w:after="0" w:line="258" w:lineRule="exact"/>
        <w:tabs>
          <w:tab w:leader="none" w:pos="21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for the company and have:</w:t>
      </w:r>
    </w:p>
    <w:p>
      <w:pPr>
        <w:spacing w:after="0" w:line="215" w:lineRule="exact"/>
        <w:rPr>
          <w:rFonts w:ascii="Arial" w:cs="Arial" w:eastAsia="Arial" w:hAnsi="Arial"/>
          <w:sz w:val="18"/>
          <w:szCs w:val="18"/>
          <w:color w:val="auto"/>
        </w:rPr>
      </w:pPr>
    </w:p>
    <w:p>
      <w:pPr>
        <w:ind w:left="1300" w:right="20" w:firstLine="653"/>
        <w:spacing w:after="0" w:line="311" w:lineRule="auto"/>
        <w:tabs>
          <w:tab w:leader="none" w:pos="274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9" w:lineRule="exact"/>
        <w:rPr>
          <w:rFonts w:ascii="Arial" w:cs="Arial" w:eastAsia="Arial" w:hAnsi="Arial"/>
          <w:sz w:val="18"/>
          <w:szCs w:val="18"/>
          <w:color w:val="auto"/>
        </w:rPr>
      </w:pPr>
    </w:p>
    <w:p>
      <w:pPr>
        <w:ind w:left="2760" w:hanging="807"/>
        <w:spacing w:after="0"/>
        <w:tabs>
          <w:tab w:leader="none" w:pos="276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1300" w:right="220" w:firstLine="653"/>
        <w:spacing w:after="0" w:line="318" w:lineRule="auto"/>
        <w:tabs>
          <w:tab w:leader="none" w:pos="2736"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1300" w:right="220" w:firstLine="653"/>
        <w:spacing w:after="0" w:line="318" w:lineRule="auto"/>
        <w:tabs>
          <w:tab w:leader="none" w:pos="274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63" w:lineRule="exact"/>
        <w:rPr>
          <w:rFonts w:ascii="Arial" w:cs="Arial" w:eastAsia="Arial" w:hAnsi="Arial"/>
          <w:sz w:val="18"/>
          <w:szCs w:val="18"/>
          <w:color w:val="auto"/>
        </w:rPr>
      </w:pPr>
    </w:p>
    <w:p>
      <w:pPr>
        <w:ind w:left="660" w:right="420" w:firstLine="645"/>
        <w:spacing w:after="0" w:line="318" w:lineRule="auto"/>
        <w:tabs>
          <w:tab w:leader="none" w:pos="21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63" w:lineRule="exact"/>
        <w:rPr>
          <w:rFonts w:ascii="Arial" w:cs="Arial" w:eastAsia="Arial" w:hAnsi="Arial"/>
          <w:sz w:val="18"/>
          <w:szCs w:val="18"/>
          <w:color w:val="auto"/>
        </w:rPr>
      </w:pPr>
    </w:p>
    <w:p>
      <w:pPr>
        <w:ind w:left="1300" w:right="440" w:firstLine="653"/>
        <w:spacing w:after="0" w:line="318" w:lineRule="auto"/>
        <w:tabs>
          <w:tab w:leader="none" w:pos="274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3" w:lineRule="exact"/>
        <w:rPr>
          <w:rFonts w:ascii="Arial" w:cs="Arial" w:eastAsia="Arial" w:hAnsi="Arial"/>
          <w:sz w:val="18"/>
          <w:szCs w:val="18"/>
          <w:color w:val="auto"/>
        </w:rPr>
      </w:pPr>
    </w:p>
    <w:p>
      <w:pPr>
        <w:ind w:left="1300" w:right="340" w:firstLine="653"/>
        <w:spacing w:after="0" w:line="339" w:lineRule="auto"/>
        <w:tabs>
          <w:tab w:leader="none" w:pos="274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pacing w:after="0" w:line="225" w:lineRule="exact"/>
        <w:rPr>
          <w:sz w:val="20"/>
          <w:szCs w:val="20"/>
          <w:color w:val="auto"/>
        </w:rPr>
      </w:pPr>
    </w:p>
    <w:p>
      <w:pPr>
        <w:ind w:left="7740"/>
        <w:spacing w:after="0"/>
        <w:rPr>
          <w:sz w:val="20"/>
          <w:szCs w:val="20"/>
          <w:color w:val="auto"/>
        </w:rPr>
      </w:pPr>
      <w:r>
        <w:rPr>
          <w:rFonts w:ascii="Arial" w:cs="Arial" w:eastAsia="Arial" w:hAnsi="Arial"/>
          <w:sz w:val="18"/>
          <w:szCs w:val="18"/>
          <w:u w:val="single" w:color="auto"/>
          <w:color w:val="auto"/>
        </w:rPr>
        <w:t>/s/ Mark S. Colby_______________________</w:t>
      </w:r>
    </w:p>
    <w:p>
      <w:pPr>
        <w:spacing w:after="0" w:line="31"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Mark S. Colby</w:t>
      </w:r>
    </w:p>
    <w:p>
      <w:pPr>
        <w:spacing w:after="0" w:line="9" w:lineRule="exact"/>
        <w:rPr>
          <w:sz w:val="20"/>
          <w:szCs w:val="20"/>
          <w:color w:val="auto"/>
        </w:rPr>
      </w:pPr>
    </w:p>
    <w:p>
      <w:pPr>
        <w:ind w:left="966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76" w:right="2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Exhibit 32</w:t>
      </w:r>
    </w:p>
    <w:p>
      <w:pPr>
        <w:spacing w:after="0" w:line="220" w:lineRule="exact"/>
        <w:rPr>
          <w:sz w:val="20"/>
          <w:szCs w:val="20"/>
          <w:color w:val="auto"/>
        </w:rPr>
      </w:pPr>
    </w:p>
    <w:p>
      <w:pPr>
        <w:ind w:right="140"/>
        <w:spacing w:after="0" w:line="293"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112" w:lineRule="exact"/>
        <w:rPr>
          <w:sz w:val="20"/>
          <w:szCs w:val="20"/>
          <w:color w:val="auto"/>
        </w:rPr>
      </w:pPr>
    </w:p>
    <w:p>
      <w:pPr>
        <w:ind w:right="140" w:firstLine="648"/>
        <w:spacing w:after="0" w:line="271" w:lineRule="auto"/>
        <w:rPr>
          <w:sz w:val="20"/>
          <w:szCs w:val="20"/>
          <w:color w:val="auto"/>
        </w:rPr>
      </w:pPr>
      <w:r>
        <w:rPr>
          <w:rFonts w:ascii="Arial" w:cs="Arial" w:eastAsia="Arial" w:hAnsi="Arial"/>
          <w:sz w:val="18"/>
          <w:szCs w:val="18"/>
          <w:color w:val="auto"/>
        </w:rPr>
        <w:t>The certification set forth below is being submitted in connection with Goosehead Insurance, Inc.’s Quarterly Report on Form 10-Q for the quarter ended March 31, 2019 (the “Report”) for the purpose of complying with Rule 13a-14(b) or Rule 15d-14(b) of the Securities Exchange Act of 1934 (the “Exchange Act”) and Section 1350 of Chapter 63 of Title 18 of the United States Code.</w:t>
      </w:r>
    </w:p>
    <w:p>
      <w:pPr>
        <w:spacing w:after="0" w:line="163" w:lineRule="exact"/>
        <w:rPr>
          <w:sz w:val="20"/>
          <w:szCs w:val="20"/>
          <w:color w:val="auto"/>
        </w:rPr>
      </w:pPr>
    </w:p>
    <w:p>
      <w:pPr>
        <w:ind w:right="120" w:firstLine="648"/>
        <w:spacing w:after="0" w:line="292" w:lineRule="auto"/>
        <w:rPr>
          <w:sz w:val="20"/>
          <w:szCs w:val="20"/>
          <w:color w:val="auto"/>
        </w:rPr>
      </w:pPr>
      <w:r>
        <w:rPr>
          <w:rFonts w:ascii="Arial" w:cs="Arial" w:eastAsia="Arial" w:hAnsi="Arial"/>
          <w:sz w:val="18"/>
          <w:szCs w:val="18"/>
          <w:color w:val="auto"/>
        </w:rPr>
        <w:t>Mark E. Jones, the Chief Executive Officer and Mark S. Colby, the Chief Financial Officer of Goosehead Insurance, Inc., each certifies that, to the best of his knowledge:</w:t>
      </w:r>
    </w:p>
    <w:p>
      <w:pPr>
        <w:spacing w:after="0" w:line="145"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right="200" w:firstLine="656"/>
        <w:spacing w:after="0" w:line="292" w:lineRule="auto"/>
        <w:tabs>
          <w:tab w:leader="none" w:pos="9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Goosehead Insurance, Inc.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pacing w:after="0" w:line="225" w:lineRule="exact"/>
        <w:rPr>
          <w:sz w:val="20"/>
          <w:szCs w:val="20"/>
          <w:color w:val="auto"/>
        </w:rPr>
      </w:pPr>
    </w:p>
    <w:p>
      <w:pPr>
        <w:ind w:left="7720"/>
        <w:spacing w:after="0"/>
        <w:rPr>
          <w:sz w:val="20"/>
          <w:szCs w:val="20"/>
          <w:color w:val="auto"/>
        </w:rPr>
      </w:pPr>
      <w:r>
        <w:rPr>
          <w:rFonts w:ascii="Arial" w:cs="Arial" w:eastAsia="Arial" w:hAnsi="Arial"/>
          <w:sz w:val="18"/>
          <w:szCs w:val="18"/>
          <w:u w:val="single" w:color="auto"/>
          <w:color w:val="auto"/>
        </w:rPr>
        <w:t>/s/ Mark E. Jones_______________________</w:t>
      </w:r>
    </w:p>
    <w:p>
      <w:pPr>
        <w:spacing w:after="0" w:line="31" w:lineRule="exact"/>
        <w:rPr>
          <w:sz w:val="20"/>
          <w:szCs w:val="20"/>
          <w:color w:val="auto"/>
        </w:rPr>
      </w:pPr>
    </w:p>
    <w:p>
      <w:pPr>
        <w:ind w:left="10260"/>
        <w:spacing w:after="0"/>
        <w:rPr>
          <w:sz w:val="20"/>
          <w:szCs w:val="20"/>
          <w:color w:val="auto"/>
        </w:rPr>
      </w:pPr>
      <w:r>
        <w:rPr>
          <w:rFonts w:ascii="Arial" w:cs="Arial" w:eastAsia="Arial" w:hAnsi="Arial"/>
          <w:sz w:val="18"/>
          <w:szCs w:val="18"/>
          <w:color w:val="auto"/>
        </w:rPr>
        <w:t>Mark E. Jones</w:t>
      </w:r>
    </w:p>
    <w:p>
      <w:pPr>
        <w:spacing w:after="0" w:line="9" w:lineRule="exact"/>
        <w:rPr>
          <w:sz w:val="20"/>
          <w:szCs w:val="20"/>
          <w:color w:val="auto"/>
        </w:rPr>
      </w:pPr>
    </w:p>
    <w:p>
      <w:pPr>
        <w:ind w:left="9600"/>
        <w:spacing w:after="0"/>
        <w:rPr>
          <w:sz w:val="20"/>
          <w:szCs w:val="20"/>
          <w:color w:val="auto"/>
        </w:rPr>
      </w:pPr>
      <w:r>
        <w:rPr>
          <w:rFonts w:ascii="Arial" w:cs="Arial" w:eastAsia="Arial" w:hAnsi="Arial"/>
          <w:sz w:val="17"/>
          <w:szCs w:val="17"/>
          <w:color w:val="auto"/>
        </w:rPr>
        <w:t>Chief Executive Officer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pacing w:after="0" w:line="225" w:lineRule="exact"/>
        <w:rPr>
          <w:sz w:val="20"/>
          <w:szCs w:val="20"/>
          <w:color w:val="auto"/>
        </w:rPr>
      </w:pPr>
    </w:p>
    <w:p>
      <w:pPr>
        <w:ind w:left="7740"/>
        <w:spacing w:after="0"/>
        <w:rPr>
          <w:sz w:val="20"/>
          <w:szCs w:val="20"/>
          <w:color w:val="auto"/>
        </w:rPr>
      </w:pPr>
      <w:r>
        <w:rPr>
          <w:rFonts w:ascii="Arial" w:cs="Arial" w:eastAsia="Arial" w:hAnsi="Arial"/>
          <w:sz w:val="18"/>
          <w:szCs w:val="18"/>
          <w:u w:val="single" w:color="auto"/>
          <w:color w:val="auto"/>
        </w:rPr>
        <w:t>/s/ Mark S. Colby_______________________</w:t>
      </w:r>
    </w:p>
    <w:p>
      <w:pPr>
        <w:spacing w:after="0" w:line="31" w:lineRule="exact"/>
        <w:rPr>
          <w:sz w:val="20"/>
          <w:szCs w:val="20"/>
          <w:color w:val="auto"/>
        </w:rPr>
      </w:pPr>
    </w:p>
    <w:p>
      <w:pPr>
        <w:ind w:left="10280"/>
        <w:spacing w:after="0"/>
        <w:rPr>
          <w:sz w:val="20"/>
          <w:szCs w:val="20"/>
          <w:color w:val="auto"/>
        </w:rPr>
      </w:pPr>
      <w:r>
        <w:rPr>
          <w:rFonts w:ascii="Arial" w:cs="Arial" w:eastAsia="Arial" w:hAnsi="Arial"/>
          <w:sz w:val="18"/>
          <w:szCs w:val="18"/>
          <w:color w:val="auto"/>
        </w:rPr>
        <w:t>Mark S. Colby</w:t>
      </w:r>
    </w:p>
    <w:p>
      <w:pPr>
        <w:spacing w:after="0" w:line="9" w:lineRule="exact"/>
        <w:rPr>
          <w:sz w:val="20"/>
          <w:szCs w:val="20"/>
          <w:color w:val="auto"/>
        </w:rPr>
      </w:pPr>
    </w:p>
    <w:p>
      <w:pPr>
        <w:ind w:left="966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3"/>
    </w:lvl>
    <w:lvl w:ilvl="1">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2019-12-28T13:18:37Z</dcterms:created>
  <dcterms:modified xsi:type="dcterms:W3CDTF">2019-12-28T13:18:37Z</dcterms:modified>
</cp:coreProperties>
</file>