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7047865" cy="8712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8712200"/>
                    </a:xfrm>
                    <a:prstGeom prst="rect">
                      <a:avLst/>
                    </a:prstGeom>
                    <a:noFill/>
                  </pic:spPr>
                </pic:pic>
              </a:graphicData>
            </a:graphic>
          </wp:anchor>
        </w:drawing>
      </w:r>
    </w:p>
    <w:p>
      <w:pPr>
        <w:spacing w:after="0" w:line="1199" w:lineRule="exact"/>
        <w:rPr>
          <w:sz w:val="24"/>
          <w:szCs w:val="24"/>
          <w:color w:val="auto"/>
        </w:rPr>
      </w:pPr>
    </w:p>
    <w:p>
      <w:pPr>
        <w:sectPr>
          <w:pgSz w:w="11900" w:h="16939" w:orient="portrait"/>
          <w:cols w:equalWidth="0" w:num="2">
            <w:col w:w="2300" w:space="360"/>
            <w:col w:w="8440"/>
          </w:cols>
          <w:pgMar w:left="440" w:top="216" w:right="359" w:bottom="0" w:gutter="0" w:footer="0" w:header="0"/>
        </w:sectPr>
      </w:pPr>
    </w:p>
    <w:p>
      <w:pPr>
        <w:spacing w:after="0" w:line="14" w:lineRule="exact"/>
        <w:rPr>
          <w:sz w:val="24"/>
          <w:szCs w:val="24"/>
          <w:color w:val="auto"/>
        </w:rPr>
      </w:pPr>
    </w:p>
    <w:p>
      <w:pPr>
        <w:ind w:left="10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40"/>
        <w:spacing w:after="0" w:line="248"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Mark &amp; Robyn Jones Descendants Trust</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2014</w:t>
        </w:r>
      </w:hyperlink>
    </w:p>
    <w:p>
      <w:pPr>
        <w:spacing w:after="0" w:line="275" w:lineRule="exact"/>
        <w:rPr>
          <w:sz w:val="20"/>
          <w:szCs w:val="20"/>
          <w:color w:val="auto"/>
        </w:rPr>
      </w:pPr>
    </w:p>
    <w:p>
      <w:pPr>
        <w:ind w:left="140"/>
        <w:spacing w:after="0"/>
        <w:tabs>
          <w:tab w:leader="none" w:pos="134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0"/>
          <w:szCs w:val="20"/>
          <w:color w:val="auto"/>
        </w:rPr>
      </w:pPr>
    </w:p>
    <w:p>
      <w:pPr>
        <w:ind w:left="140" w:right="340"/>
        <w:spacing w:after="0" w:line="370" w:lineRule="auto"/>
        <w:rPr>
          <w:sz w:val="20"/>
          <w:szCs w:val="20"/>
          <w:color w:val="auto"/>
        </w:rPr>
      </w:pPr>
      <w:r>
        <w:rPr>
          <w:rFonts w:ascii="Times New Roman" w:cs="Times New Roman" w:eastAsia="Times New Roman" w:hAnsi="Times New Roman"/>
          <w:sz w:val="16"/>
          <w:szCs w:val="16"/>
          <w:color w:val="0000FF"/>
        </w:rPr>
        <w:t>C/O GOOSEHEAD INSURANCE, INC. 1500 SOLANA BLVD., BLDG 4, STE 4500</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(Street)</w:t>
      </w:r>
    </w:p>
    <w:p>
      <w:pPr>
        <w:spacing w:after="0" w:line="28" w:lineRule="exact"/>
        <w:rPr>
          <w:sz w:val="20"/>
          <w:szCs w:val="20"/>
          <w:color w:val="auto"/>
        </w:rPr>
      </w:pPr>
    </w:p>
    <w:p>
      <w:pPr>
        <w:ind w:left="140"/>
        <w:spacing w:after="0"/>
        <w:tabs>
          <w:tab w:leader="none" w:pos="1340" w:val="left"/>
          <w:tab w:leader="none" w:pos="2560" w:val="left"/>
        </w:tabs>
        <w:rPr>
          <w:sz w:val="20"/>
          <w:szCs w:val="20"/>
          <w:color w:val="auto"/>
        </w:rPr>
      </w:pPr>
      <w:r>
        <w:rPr>
          <w:rFonts w:ascii="Times New Roman" w:cs="Times New Roman" w:eastAsia="Times New Roman" w:hAnsi="Times New Roman"/>
          <w:sz w:val="16"/>
          <w:szCs w:val="16"/>
          <w:color w:val="0000FF"/>
        </w:rPr>
        <w:t>WESTLAKE</w:t>
      </w:r>
      <w:r>
        <w:rPr>
          <w:sz w:val="20"/>
          <w:szCs w:val="20"/>
          <w:color w:val="auto"/>
        </w:rPr>
        <w:tab/>
      </w:r>
      <w:r>
        <w:rPr>
          <w:rFonts w:ascii="Times New Roman" w:cs="Times New Roman" w:eastAsia="Times New Roman" w:hAnsi="Times New Roman"/>
          <w:sz w:val="16"/>
          <w:szCs w:val="16"/>
          <w:color w:val="0000FF"/>
        </w:rPr>
        <w:t>TX</w:t>
      </w:r>
      <w:r>
        <w:rPr>
          <w:sz w:val="20"/>
          <w:szCs w:val="20"/>
          <w:color w:val="auto"/>
        </w:rPr>
        <w:tab/>
      </w:r>
      <w:r>
        <w:rPr>
          <w:rFonts w:ascii="Times New Roman" w:cs="Times New Roman" w:eastAsia="Times New Roman" w:hAnsi="Times New Roman"/>
          <w:sz w:val="16"/>
          <w:szCs w:val="16"/>
          <w:color w:val="0000FF"/>
        </w:rPr>
        <w:t>76262</w:t>
      </w:r>
    </w:p>
    <w:p>
      <w:pPr>
        <w:spacing w:after="0" w:line="323" w:lineRule="exact"/>
        <w:rPr>
          <w:sz w:val="20"/>
          <w:szCs w:val="20"/>
          <w:color w:val="auto"/>
        </w:rPr>
      </w:pPr>
    </w:p>
    <w:p>
      <w:pPr>
        <w:ind w:left="140"/>
        <w:spacing w:after="0"/>
        <w:tabs>
          <w:tab w:leader="none" w:pos="134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60" w:type="dxa"/>
            <w:vAlign w:val="bottom"/>
            <w:gridSpan w:val="3"/>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Goosehead Insurance,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GSHD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80" w:type="dxa"/>
            <w:vAlign w:val="bottom"/>
            <w:gridSpan w:val="2"/>
            <w:vMerge w:val="continue"/>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33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0000FF"/>
              </w:rPr>
              <w:t>Member of 10% owner group</w:t>
            </w:r>
          </w:p>
        </w:tc>
        <w:tc>
          <w:tcPr>
            <w:tcW w:w="0" w:type="dxa"/>
            <w:vAlign w:val="bottom"/>
          </w:tcPr>
          <w:p>
            <w:pPr>
              <w:spacing w:after="0"/>
              <w:rPr>
                <w:sz w:val="1"/>
                <w:szCs w:val="1"/>
                <w:color w:val="auto"/>
              </w:rPr>
            </w:pPr>
          </w:p>
        </w:tc>
      </w:tr>
      <w:tr>
        <w:trPr>
          <w:trHeight w:val="139"/>
        </w:trPr>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05/21/2026</w:t>
            </w:r>
          </w:p>
        </w:tc>
        <w:tc>
          <w:tcPr>
            <w:tcW w:w="1620" w:type="dxa"/>
            <w:vAlign w:val="bottom"/>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20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1"/>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1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4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0" w:lineRule="exact"/>
        <w:rPr>
          <w:sz w:val="20"/>
          <w:szCs w:val="20"/>
          <w:color w:val="auto"/>
        </w:rPr>
      </w:pPr>
    </w:p>
    <w:p>
      <w:pPr>
        <w:sectPr>
          <w:pgSz w:w="11900" w:h="16939" w:orient="portrait"/>
          <w:cols w:equalWidth="0" w:num="2">
            <w:col w:w="3420" w:space="440"/>
            <w:col w:w="7240"/>
          </w:cols>
          <w:pgMar w:left="440" w:top="216" w:right="359" w:bottom="0" w:gutter="0" w:footer="0" w:header="0"/>
          <w:type w:val="continuous"/>
        </w:sectPr>
      </w:pPr>
    </w:p>
    <w:p>
      <w:pPr>
        <w:jc w:val="center"/>
        <w:ind w:righ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920" w:type="dxa"/>
            <w:vAlign w:val="bottom"/>
            <w:gridSpan w:val="5"/>
          </w:tcPr>
          <w:p>
            <w:pPr>
              <w:jc w:val="center"/>
              <w:ind w:right="3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1"/>
                <w:szCs w:val="11"/>
                <w:color w:val="auto"/>
              </w:rPr>
            </w:pP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800" w:type="dxa"/>
            <w:vAlign w:val="bottom"/>
            <w:tcBorders>
              <w:bottom w:val="single" w:sz="8" w:color="2C2C2C"/>
            </w:tcBorders>
            <w:gridSpan w:val="2"/>
          </w:tcPr>
          <w:p>
            <w:pPr>
              <w:jc w:val="right"/>
              <w:ind w:right="142"/>
              <w:spacing w:after="0"/>
              <w:rPr>
                <w:sz w:val="20"/>
                <w:szCs w:val="20"/>
                <w:color w:val="auto"/>
              </w:rPr>
            </w:pPr>
            <w:r>
              <w:rPr>
                <w:rFonts w:ascii="Times New Roman" w:cs="Times New Roman" w:eastAsia="Times New Roman" w:hAnsi="Times New Roman"/>
                <w:sz w:val="16"/>
                <w:szCs w:val="16"/>
                <w:color w:val="0000FF"/>
              </w:rPr>
              <w:t>05/21/2026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w w:val="91"/>
              </w:rPr>
              <w:t>C</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70,751</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center"/>
              <w:ind w:left="14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7,133,045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2"/>
          </w:tcPr>
          <w:p>
            <w:pPr>
              <w:jc w:val="right"/>
              <w:ind w:right="142"/>
              <w:spacing w:after="0"/>
              <w:rPr>
                <w:sz w:val="20"/>
                <w:szCs w:val="20"/>
                <w:color w:val="auto"/>
              </w:rPr>
            </w:pPr>
            <w:r>
              <w:rPr>
                <w:rFonts w:ascii="Times New Roman" w:cs="Times New Roman" w:eastAsia="Times New Roman" w:hAnsi="Times New Roman"/>
                <w:sz w:val="16"/>
                <w:szCs w:val="16"/>
                <w:color w:val="0000FF"/>
              </w:rPr>
              <w:t>05/21/2026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w w:val="91"/>
              </w:rPr>
              <w:t>C</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70,751</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ind w:left="14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70,751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2"/>
          </w:tcPr>
          <w:p>
            <w:pPr>
              <w:jc w:val="right"/>
              <w:ind w:right="142"/>
              <w:spacing w:after="0"/>
              <w:rPr>
                <w:sz w:val="20"/>
                <w:szCs w:val="20"/>
                <w:color w:val="auto"/>
              </w:rPr>
            </w:pPr>
            <w:r>
              <w:rPr>
                <w:rFonts w:ascii="Times New Roman" w:cs="Times New Roman" w:eastAsia="Times New Roman" w:hAnsi="Times New Roman"/>
                <w:sz w:val="16"/>
                <w:szCs w:val="16"/>
                <w:color w:val="0000FF"/>
              </w:rPr>
              <w:t>05/21/2026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S</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29,238</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2"/>
          </w:tcPr>
          <w:p>
            <w:pPr>
              <w:jc w:val="center"/>
              <w:ind w:left="85"/>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40.62</w:t>
            </w:r>
            <w:r>
              <w:rPr>
                <w:rFonts w:ascii="Times New Roman" w:cs="Times New Roman" w:eastAsia="Times New Roman" w:hAnsi="Times New Roman"/>
                <w:sz w:val="21"/>
                <w:szCs w:val="21"/>
                <w:color w:val="008000"/>
                <w:w w:val="94"/>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41,513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2"/>
          </w:tcPr>
          <w:p>
            <w:pPr>
              <w:jc w:val="right"/>
              <w:ind w:right="142"/>
              <w:spacing w:after="0"/>
              <w:rPr>
                <w:sz w:val="20"/>
                <w:szCs w:val="20"/>
                <w:color w:val="auto"/>
              </w:rPr>
            </w:pPr>
            <w:r>
              <w:rPr>
                <w:rFonts w:ascii="Times New Roman" w:cs="Times New Roman" w:eastAsia="Times New Roman" w:hAnsi="Times New Roman"/>
                <w:sz w:val="16"/>
                <w:szCs w:val="16"/>
                <w:color w:val="0000FF"/>
              </w:rPr>
              <w:t>05/21/2026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S</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20,783</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2"/>
          </w:tcPr>
          <w:p>
            <w:pPr>
              <w:jc w:val="center"/>
              <w:ind w:left="85"/>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41.57</w:t>
            </w:r>
            <w:r>
              <w:rPr>
                <w:rFonts w:ascii="Times New Roman" w:cs="Times New Roman" w:eastAsia="Times New Roman" w:hAnsi="Times New Roman"/>
                <w:sz w:val="21"/>
                <w:szCs w:val="21"/>
                <w:color w:val="008000"/>
                <w:w w:val="94"/>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20,730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2"/>
          </w:tcPr>
          <w:p>
            <w:pPr>
              <w:jc w:val="right"/>
              <w:ind w:right="142"/>
              <w:spacing w:after="0"/>
              <w:rPr>
                <w:sz w:val="20"/>
                <w:szCs w:val="20"/>
                <w:color w:val="auto"/>
              </w:rPr>
            </w:pPr>
            <w:r>
              <w:rPr>
                <w:rFonts w:ascii="Times New Roman" w:cs="Times New Roman" w:eastAsia="Times New Roman" w:hAnsi="Times New Roman"/>
                <w:sz w:val="16"/>
                <w:szCs w:val="16"/>
                <w:color w:val="0000FF"/>
              </w:rPr>
              <w:t>05/21/2026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S</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20,730</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2"/>
          </w:tcPr>
          <w:p>
            <w:pPr>
              <w:jc w:val="center"/>
              <w:ind w:left="85"/>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42.21</w:t>
            </w:r>
            <w:r>
              <w:rPr>
                <w:rFonts w:ascii="Times New Roman" w:cs="Times New Roman" w:eastAsia="Times New Roman" w:hAnsi="Times New Roman"/>
                <w:sz w:val="21"/>
                <w:szCs w:val="21"/>
                <w:color w:val="008000"/>
                <w:w w:val="94"/>
                <w:vertAlign w:val="superscript"/>
              </w:rPr>
              <w:t>(4)</w:t>
            </w:r>
          </w:p>
        </w:tc>
        <w:tc>
          <w:tcPr>
            <w:tcW w:w="680" w:type="dxa"/>
            <w:vAlign w:val="bottom"/>
            <w:tcBorders>
              <w:bottom w:val="single" w:sz="8" w:color="2C2C2C"/>
            </w:tcBorders>
            <w:gridSpan w:val="2"/>
          </w:tcPr>
          <w:p>
            <w:pPr>
              <w:jc w:val="center"/>
              <w:ind w:left="486"/>
              <w:spacing w:after="0"/>
              <w:rPr>
                <w:sz w:val="20"/>
                <w:szCs w:val="20"/>
                <w:color w:val="auto"/>
              </w:rPr>
            </w:pPr>
            <w:r>
              <w:rPr>
                <w:rFonts w:ascii="Times New Roman" w:cs="Times New Roman" w:eastAsia="Times New Roman" w:hAnsi="Times New Roman"/>
                <w:sz w:val="16"/>
                <w:szCs w:val="16"/>
                <w:color w:val="0000FF"/>
                <w:w w:val="99"/>
              </w:rPr>
              <w:t>0</w:t>
            </w: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38,851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(5)</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0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182,349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(5)</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71,565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(6)</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0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132,349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44"/>
              <w:spacing w:after="0" w:line="304" w:lineRule="exact"/>
              <w:rPr>
                <w:sz w:val="20"/>
                <w:szCs w:val="20"/>
                <w:color w:val="auto"/>
              </w:rPr>
            </w:pPr>
            <w:r>
              <w:rPr>
                <w:rFonts w:ascii="Times New Roman" w:cs="Times New Roman" w:eastAsia="Times New Roman" w:hAnsi="Times New Roman"/>
                <w:sz w:val="32"/>
                <w:szCs w:val="32"/>
                <w:color w:val="0000FF"/>
                <w:w w:val="91"/>
                <w:vertAlign w:val="subscript"/>
              </w:rPr>
              <w:t>D</w:t>
            </w:r>
            <w:r>
              <w:rPr>
                <w:rFonts w:ascii="Times New Roman" w:cs="Times New Roman" w:eastAsia="Times New Roman" w:hAnsi="Times New Roman"/>
                <w:sz w:val="11"/>
                <w:szCs w:val="11"/>
                <w:color w:val="008000"/>
                <w:w w:val="91"/>
              </w:rPr>
              <w:t>(6)</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1,766,355</w:t>
            </w:r>
          </w:p>
        </w:tc>
        <w:tc>
          <w:tcPr>
            <w:tcW w:w="260" w:type="dxa"/>
            <w:vAlign w:val="bottom"/>
          </w:tcPr>
          <w:p>
            <w:pPr>
              <w:spacing w:after="0"/>
              <w:rPr>
                <w:sz w:val="20"/>
                <w:szCs w:val="20"/>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1"/>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jc w:val="right"/>
              <w:ind w:right="364"/>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(Month/Day/Year)</w:t>
            </w:r>
          </w:p>
        </w:tc>
        <w:tc>
          <w:tcPr>
            <w:tcW w:w="480" w:type="dxa"/>
            <w:vAlign w:val="bottom"/>
          </w:tcPr>
          <w:p>
            <w:pPr>
              <w:spacing w:after="0"/>
              <w:rPr>
                <w:sz w:val="11"/>
                <w:szCs w:val="11"/>
                <w:color w:val="auto"/>
              </w:rPr>
            </w:pP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1500" w:type="dxa"/>
            <w:vAlign w:val="bottom"/>
            <w:gridSpan w:val="4"/>
          </w:tcPr>
          <w:p>
            <w:pPr>
              <w:ind w:left="10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 Units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in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200" w:type="dxa"/>
            <w:vAlign w:val="bottom"/>
          </w:tcPr>
          <w:p>
            <w:pPr>
              <w:spacing w:after="0"/>
              <w:rPr>
                <w:sz w:val="12"/>
                <w:szCs w:val="12"/>
                <w:color w:val="auto"/>
              </w:rPr>
            </w:pPr>
          </w:p>
        </w:tc>
        <w:tc>
          <w:tcPr>
            <w:tcW w:w="4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1"/>
                <w:szCs w:val="11"/>
                <w:color w:val="008000"/>
                <w:w w:val="93"/>
              </w:rPr>
              <w:t>(8)</w:t>
            </w:r>
          </w:p>
        </w:tc>
        <w:tc>
          <w:tcPr>
            <w:tcW w:w="100" w:type="dxa"/>
            <w:vAlign w:val="bottom"/>
          </w:tcPr>
          <w:p>
            <w:pPr>
              <w:spacing w:after="0"/>
              <w:rPr>
                <w:sz w:val="12"/>
                <w:szCs w:val="12"/>
                <w:color w:val="auto"/>
              </w:rPr>
            </w:pPr>
          </w:p>
        </w:tc>
        <w:tc>
          <w:tcPr>
            <w:tcW w:w="560" w:type="dxa"/>
            <w:vAlign w:val="bottom"/>
          </w:tcPr>
          <w:p>
            <w:pPr>
              <w:jc w:val="center"/>
              <w:ind w:right="91"/>
              <w:spacing w:after="0" w:line="139" w:lineRule="exact"/>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70,751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center"/>
              <w:ind w:left="84"/>
              <w:spacing w:after="0" w:line="278" w:lineRule="exact"/>
              <w:rPr>
                <w:sz w:val="20"/>
                <w:szCs w:val="20"/>
                <w:color w:val="auto"/>
              </w:rPr>
            </w:pPr>
            <w:r>
              <w:rPr>
                <w:rFonts w:ascii="Times New Roman" w:cs="Times New Roman" w:eastAsia="Times New Roman" w:hAnsi="Times New Roman"/>
                <w:sz w:val="25"/>
                <w:szCs w:val="25"/>
                <w:color w:val="0000FF"/>
                <w:w w:val="88"/>
                <w:vertAlign w:val="subscript"/>
              </w:rPr>
              <w:t>D</w:t>
            </w:r>
            <w:r>
              <w:rPr>
                <w:rFonts w:ascii="Times New Roman" w:cs="Times New Roman" w:eastAsia="Times New Roman" w:hAnsi="Times New Roman"/>
                <w:sz w:val="11"/>
                <w:szCs w:val="11"/>
                <w:color w:val="008000"/>
                <w:w w:val="88"/>
              </w:rPr>
              <w:t>(1)</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Goosehead</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61"/>
              <w:spacing w:after="0" w:line="139" w:lineRule="exact"/>
              <w:rPr>
                <w:sz w:val="20"/>
                <w:szCs w:val="20"/>
                <w:color w:val="auto"/>
              </w:rPr>
            </w:pPr>
            <w:r>
              <w:rPr>
                <w:rFonts w:ascii="Times New Roman" w:cs="Times New Roman" w:eastAsia="Times New Roman" w:hAnsi="Times New Roman"/>
                <w:sz w:val="13"/>
                <w:szCs w:val="13"/>
                <w:color w:val="0000FF"/>
              </w:rPr>
              <w:t>05/21/2026</w:t>
            </w:r>
          </w:p>
        </w:tc>
        <w:tc>
          <w:tcPr>
            <w:tcW w:w="108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900" w:type="dxa"/>
            <w:vAlign w:val="bottom"/>
          </w:tcPr>
          <w:p>
            <w:pPr>
              <w:ind w:left="440"/>
              <w:spacing w:after="0" w:line="139" w:lineRule="exact"/>
              <w:rPr>
                <w:sz w:val="20"/>
                <w:szCs w:val="20"/>
                <w:color w:val="auto"/>
              </w:rPr>
            </w:pPr>
            <w:r>
              <w:rPr>
                <w:rFonts w:ascii="Times New Roman" w:cs="Times New Roman" w:eastAsia="Times New Roman" w:hAnsi="Times New Roman"/>
                <w:sz w:val="13"/>
                <w:szCs w:val="13"/>
                <w:color w:val="0000FF"/>
              </w:rPr>
              <w:t>70,751</w:t>
            </w: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7,133,045</w:t>
            </w: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Financial,</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91"/>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 Units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in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200" w:type="dxa"/>
            <w:vAlign w:val="bottom"/>
          </w:tcPr>
          <w:p>
            <w:pPr>
              <w:spacing w:after="0"/>
              <w:rPr>
                <w:sz w:val="12"/>
                <w:szCs w:val="12"/>
                <w:color w:val="auto"/>
              </w:rPr>
            </w:pPr>
          </w:p>
        </w:tc>
        <w:tc>
          <w:tcPr>
            <w:tcW w:w="4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1"/>
                <w:szCs w:val="11"/>
                <w:color w:val="008000"/>
                <w:w w:val="93"/>
              </w:rPr>
              <w:t>(8)</w:t>
            </w:r>
          </w:p>
        </w:tc>
        <w:tc>
          <w:tcPr>
            <w:tcW w:w="100" w:type="dxa"/>
            <w:vAlign w:val="bottom"/>
          </w:tcPr>
          <w:p>
            <w:pPr>
              <w:spacing w:after="0"/>
              <w:rPr>
                <w:sz w:val="12"/>
                <w:szCs w:val="12"/>
                <w:color w:val="auto"/>
              </w:rPr>
            </w:pPr>
          </w:p>
        </w:tc>
        <w:tc>
          <w:tcPr>
            <w:tcW w:w="560" w:type="dxa"/>
            <w:vAlign w:val="bottom"/>
          </w:tcPr>
          <w:p>
            <w:pPr>
              <w:jc w:val="center"/>
              <w:ind w:right="91"/>
              <w:spacing w:after="0" w:line="139" w:lineRule="exact"/>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182,349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center"/>
              <w:ind w:left="84"/>
              <w:spacing w:after="0" w:line="278" w:lineRule="exact"/>
              <w:rPr>
                <w:sz w:val="20"/>
                <w:szCs w:val="20"/>
                <w:color w:val="auto"/>
              </w:rPr>
            </w:pPr>
            <w:r>
              <w:rPr>
                <w:rFonts w:ascii="Times New Roman" w:cs="Times New Roman" w:eastAsia="Times New Roman" w:hAnsi="Times New Roman"/>
                <w:sz w:val="25"/>
                <w:szCs w:val="25"/>
                <w:color w:val="0000FF"/>
                <w:w w:val="88"/>
                <w:vertAlign w:val="subscript"/>
              </w:rPr>
              <w:t>D</w:t>
            </w:r>
            <w:r>
              <w:rPr>
                <w:rFonts w:ascii="Times New Roman" w:cs="Times New Roman" w:eastAsia="Times New Roman" w:hAnsi="Times New Roman"/>
                <w:sz w:val="11"/>
                <w:szCs w:val="11"/>
                <w:color w:val="008000"/>
                <w:w w:val="88"/>
              </w:rPr>
              <w:t>(5)</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Goosehead</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182,349</w:t>
            </w: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Financial,</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91"/>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 Units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in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200" w:type="dxa"/>
            <w:vAlign w:val="bottom"/>
          </w:tcPr>
          <w:p>
            <w:pPr>
              <w:spacing w:after="0"/>
              <w:rPr>
                <w:sz w:val="12"/>
                <w:szCs w:val="12"/>
                <w:color w:val="auto"/>
              </w:rPr>
            </w:pPr>
          </w:p>
        </w:tc>
        <w:tc>
          <w:tcPr>
            <w:tcW w:w="4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1"/>
                <w:szCs w:val="11"/>
                <w:color w:val="008000"/>
                <w:w w:val="93"/>
              </w:rPr>
              <w:t>(8)</w:t>
            </w:r>
          </w:p>
        </w:tc>
        <w:tc>
          <w:tcPr>
            <w:tcW w:w="100" w:type="dxa"/>
            <w:vAlign w:val="bottom"/>
          </w:tcPr>
          <w:p>
            <w:pPr>
              <w:spacing w:after="0"/>
              <w:rPr>
                <w:sz w:val="12"/>
                <w:szCs w:val="12"/>
                <w:color w:val="auto"/>
              </w:rPr>
            </w:pPr>
          </w:p>
        </w:tc>
        <w:tc>
          <w:tcPr>
            <w:tcW w:w="560" w:type="dxa"/>
            <w:vAlign w:val="bottom"/>
          </w:tcPr>
          <w:p>
            <w:pPr>
              <w:jc w:val="center"/>
              <w:ind w:right="91"/>
              <w:spacing w:after="0" w:line="139" w:lineRule="exact"/>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132,349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center"/>
              <w:ind w:left="84"/>
              <w:spacing w:after="0" w:line="278" w:lineRule="exact"/>
              <w:rPr>
                <w:sz w:val="20"/>
                <w:szCs w:val="20"/>
                <w:color w:val="auto"/>
              </w:rPr>
            </w:pPr>
            <w:r>
              <w:rPr>
                <w:rFonts w:ascii="Times New Roman" w:cs="Times New Roman" w:eastAsia="Times New Roman" w:hAnsi="Times New Roman"/>
                <w:sz w:val="25"/>
                <w:szCs w:val="25"/>
                <w:color w:val="0000FF"/>
                <w:w w:val="88"/>
                <w:vertAlign w:val="subscript"/>
              </w:rPr>
              <w:t>D</w:t>
            </w:r>
            <w:r>
              <w:rPr>
                <w:rFonts w:ascii="Times New Roman" w:cs="Times New Roman" w:eastAsia="Times New Roman" w:hAnsi="Times New Roman"/>
                <w:sz w:val="11"/>
                <w:szCs w:val="11"/>
                <w:color w:val="008000"/>
                <w:w w:val="88"/>
              </w:rPr>
              <w:t>(6)</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Goosehead</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132,349</w:t>
            </w: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Financial,</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91"/>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LLC Units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in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200" w:type="dxa"/>
            <w:vAlign w:val="bottom"/>
          </w:tcPr>
          <w:p>
            <w:pPr>
              <w:spacing w:after="0"/>
              <w:rPr>
                <w:sz w:val="12"/>
                <w:szCs w:val="12"/>
                <w:color w:val="auto"/>
              </w:rPr>
            </w:pPr>
          </w:p>
        </w:tc>
        <w:tc>
          <w:tcPr>
            <w:tcW w:w="4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1"/>
                <w:szCs w:val="11"/>
                <w:color w:val="008000"/>
                <w:w w:val="93"/>
              </w:rPr>
              <w:t>(8)</w:t>
            </w:r>
          </w:p>
        </w:tc>
        <w:tc>
          <w:tcPr>
            <w:tcW w:w="100" w:type="dxa"/>
            <w:vAlign w:val="bottom"/>
          </w:tcPr>
          <w:p>
            <w:pPr>
              <w:spacing w:after="0"/>
              <w:rPr>
                <w:sz w:val="12"/>
                <w:szCs w:val="12"/>
                <w:color w:val="auto"/>
              </w:rPr>
            </w:pPr>
          </w:p>
        </w:tc>
        <w:tc>
          <w:tcPr>
            <w:tcW w:w="560" w:type="dxa"/>
            <w:vAlign w:val="bottom"/>
          </w:tcPr>
          <w:p>
            <w:pPr>
              <w:jc w:val="center"/>
              <w:ind w:right="91"/>
              <w:spacing w:after="0" w:line="139" w:lineRule="exact"/>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1,766,355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Goosehead</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1,766,355</w:t>
            </w:r>
          </w:p>
        </w:tc>
        <w:tc>
          <w:tcPr>
            <w:tcW w:w="680" w:type="dxa"/>
            <w:vAlign w:val="bottom"/>
          </w:tcPr>
          <w:p>
            <w:pPr>
              <w:jc w:val="center"/>
              <w:ind w:left="64"/>
              <w:spacing w:after="0" w:line="139"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Financial,</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00"/>
        <w:spacing w:after="0"/>
        <w:rPr>
          <w:sz w:val="20"/>
          <w:szCs w:val="20"/>
          <w:color w:val="auto"/>
        </w:rPr>
      </w:pPr>
      <w:r>
        <w:rPr>
          <w:rFonts w:ascii="Times New Roman" w:cs="Times New Roman" w:eastAsia="Times New Roman" w:hAnsi="Times New Roman"/>
          <w:sz w:val="13"/>
          <w:szCs w:val="13"/>
          <w:color w:val="0000FF"/>
        </w:rPr>
        <w:t>LLC</w:t>
      </w:r>
    </w:p>
    <w:p>
      <w:pPr>
        <w:spacing w:after="0" w:line="25" w:lineRule="exact"/>
        <w:rPr>
          <w:sz w:val="20"/>
          <w:szCs w:val="20"/>
          <w:color w:val="auto"/>
        </w:rPr>
      </w:pPr>
    </w:p>
    <w:p>
      <w:pPr>
        <w:spacing w:after="0"/>
        <w:rPr>
          <w:sz w:val="20"/>
          <w:szCs w:val="20"/>
          <w:color w:val="auto"/>
        </w:rPr>
      </w:pPr>
      <w:r>
        <w:rPr>
          <w:sz w:val="1"/>
          <w:szCs w:val="1"/>
          <w:color w:val="auto"/>
        </w:rPr>
        <w:drawing>
          <wp:inline distT="0" distB="0" distL="0" distR="0">
            <wp:extent cx="41275" cy="2216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1275" cy="22161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1"/>
          <w:szCs w:val="21"/>
          <w:color w:val="auto"/>
          <w:vertAlign w:val="superscript"/>
        </w:rPr>
        <w:t>*</w:t>
      </w:r>
    </w:p>
    <w:p>
      <w:pPr>
        <w:sectPr>
          <w:pgSz w:w="11900" w:h="16939" w:orient="portrait"/>
          <w:cols w:equalWidth="0" w:num="1">
            <w:col w:w="11100"/>
          </w:cols>
          <w:pgMar w:left="440" w:top="216"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Mark &amp; Robyn Jones Descendants Trust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-128905</wp:posOffset>
            </wp:positionV>
            <wp:extent cx="2807335" cy="4933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07335" cy="493331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2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C/O GOOSEHEAD INSURANCE, INC.</w:t>
            </w: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3"/>
        </w:trPr>
        <w:tc>
          <w:tcPr>
            <w:tcW w:w="80" w:type="dxa"/>
            <w:vAlign w:val="bottom"/>
          </w:tcPr>
          <w:p>
            <w:pPr>
              <w:spacing w:after="0"/>
              <w:rPr>
                <w:sz w:val="22"/>
                <w:szCs w:val="22"/>
                <w:color w:val="auto"/>
              </w:rPr>
            </w:pPr>
          </w:p>
        </w:tc>
        <w:tc>
          <w:tcPr>
            <w:tcW w:w="42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1500 SOLANA BLVD., BLDG 4, STE 4500</w:t>
            </w: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WESTLAKE</w:t>
            </w:r>
          </w:p>
        </w:tc>
        <w:tc>
          <w:tcPr>
            <w:tcW w:w="16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0000FF"/>
              </w:rPr>
              <w:t>TX</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76262</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2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8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80" w:type="dxa"/>
            <w:vAlign w:val="bottom"/>
          </w:tcPr>
          <w:p>
            <w:pPr>
              <w:spacing w:after="0"/>
              <w:rPr>
                <w:sz w:val="18"/>
                <w:szCs w:val="18"/>
                <w:color w:val="auto"/>
              </w:rPr>
            </w:pPr>
          </w:p>
        </w:tc>
        <w:tc>
          <w:tcPr>
            <w:tcW w:w="2760" w:type="dxa"/>
            <w:vAlign w:val="bottom"/>
            <w:gridSpan w:val="5"/>
          </w:tcPr>
          <w:p>
            <w:pPr>
              <w:ind w:left="20"/>
              <w:spacing w:after="0" w:line="215"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Jones Mark Evan</w:t>
              </w:r>
            </w:hyperlink>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3"/>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2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C/O GOOSEHEAD INSURANCE, INC.</w:t>
            </w: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3"/>
        </w:trPr>
        <w:tc>
          <w:tcPr>
            <w:tcW w:w="80" w:type="dxa"/>
            <w:vAlign w:val="bottom"/>
          </w:tcPr>
          <w:p>
            <w:pPr>
              <w:spacing w:after="0"/>
              <w:rPr>
                <w:sz w:val="22"/>
                <w:szCs w:val="22"/>
                <w:color w:val="auto"/>
              </w:rPr>
            </w:pPr>
          </w:p>
        </w:tc>
        <w:tc>
          <w:tcPr>
            <w:tcW w:w="42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1500 SOLANA BLVD., BLDG 4, STE 4500</w:t>
            </w: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WESTLAKE</w:t>
            </w:r>
          </w:p>
        </w:tc>
        <w:tc>
          <w:tcPr>
            <w:tcW w:w="16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0000FF"/>
              </w:rPr>
              <w:t>TX</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76262</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2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79"/>
        </w:trPr>
        <w:tc>
          <w:tcPr>
            <w:tcW w:w="100" w:type="dxa"/>
            <w:vAlign w:val="bottom"/>
            <w:tcBorders>
              <w:bottom w:val="single" w:sz="8" w:color="2C2C2C"/>
            </w:tcBorders>
            <w:gridSpan w:val="2"/>
          </w:tcPr>
          <w:p>
            <w:pPr>
              <w:spacing w:after="0"/>
              <w:rPr>
                <w:sz w:val="6"/>
                <w:szCs w:val="6"/>
                <w:color w:val="auto"/>
              </w:rPr>
            </w:pPr>
          </w:p>
        </w:tc>
        <w:tc>
          <w:tcPr>
            <w:tcW w:w="140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8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80" w:type="dxa"/>
            <w:vAlign w:val="bottom"/>
          </w:tcPr>
          <w:p>
            <w:pPr>
              <w:spacing w:after="0"/>
              <w:rPr>
                <w:sz w:val="18"/>
                <w:szCs w:val="18"/>
                <w:color w:val="auto"/>
              </w:rPr>
            </w:pPr>
          </w:p>
        </w:tc>
        <w:tc>
          <w:tcPr>
            <w:tcW w:w="2760" w:type="dxa"/>
            <w:vAlign w:val="bottom"/>
            <w:gridSpan w:val="5"/>
          </w:tcPr>
          <w:p>
            <w:pPr>
              <w:ind w:left="20"/>
              <w:spacing w:after="0" w:line="215"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Jones Robyn Mary Elizabeth</w:t>
              </w:r>
            </w:hyperlink>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94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3"/>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00" w:type="dxa"/>
            <w:vAlign w:val="bottom"/>
            <w:gridSpan w:val="3"/>
          </w:tcPr>
          <w:p>
            <w:pPr>
              <w:ind w:left="2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C/O GOOSEHEAD INSURANCE, INC.</w:t>
            </w: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3"/>
        </w:trPr>
        <w:tc>
          <w:tcPr>
            <w:tcW w:w="80" w:type="dxa"/>
            <w:vAlign w:val="bottom"/>
          </w:tcPr>
          <w:p>
            <w:pPr>
              <w:spacing w:after="0"/>
              <w:rPr>
                <w:sz w:val="22"/>
                <w:szCs w:val="22"/>
                <w:color w:val="auto"/>
              </w:rPr>
            </w:pPr>
          </w:p>
        </w:tc>
        <w:tc>
          <w:tcPr>
            <w:tcW w:w="42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1500 SOLANA BLVD., BLDG 4, STE 4500</w:t>
            </w: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5"/>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WESTLAKE</w:t>
            </w:r>
          </w:p>
        </w:tc>
        <w:tc>
          <w:tcPr>
            <w:tcW w:w="16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0000FF"/>
              </w:rPr>
              <w:t>TX</w:t>
            </w:r>
          </w:p>
        </w:tc>
        <w:tc>
          <w:tcPr>
            <w:tcW w:w="14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76262</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3"/>
          </w:tcPr>
          <w:p>
            <w:pPr>
              <w:ind w:left="2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jc w:val="both"/>
        <w:ind w:left="20" w:right="100" w:hanging="1"/>
        <w:spacing w:after="0" w:line="237"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shares of Class B Common Stock, or LLC Units, as applicable, held (a) directly by the Mark &amp; Robyn Jones Descendants Trust 2014 and (b) indirectly by Mark Evan Jones and Robyn Mary Elizabeth Jones, who serve as trustees of the Mark &amp; Robyn Jones Descendants Trust 2014 and whose immediate family members are beneficiaries of the Mark &amp; Robyn Jones Descendants Trust 2014.</w:t>
      </w:r>
    </w:p>
    <w:p>
      <w:pPr>
        <w:spacing w:after="0" w:line="25"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$40.04 to $40.99, inclusive. The reporting person undertakes to provide to the</w:t>
      </w:r>
    </w:p>
    <w:p>
      <w:pPr>
        <w:spacing w:after="0" w:line="15" w:lineRule="exact"/>
        <w:rPr>
          <w:rFonts w:ascii="Times New Roman" w:cs="Times New Roman" w:eastAsia="Times New Roman" w:hAnsi="Times New Roman"/>
          <w:sz w:val="12"/>
          <w:szCs w:val="12"/>
          <w:color w:val="008000"/>
        </w:rPr>
      </w:pPr>
    </w:p>
    <w:p>
      <w:pPr>
        <w:ind w:left="20" w:right="60"/>
        <w:spacing w:after="0" w:line="232"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6" w:lineRule="exact"/>
        <w:rPr>
          <w:rFonts w:ascii="Times New Roman" w:cs="Times New Roman" w:eastAsia="Times New Roman" w:hAnsi="Times New Roman"/>
          <w:sz w:val="12"/>
          <w:szCs w:val="12"/>
          <w:color w:val="008000"/>
        </w:rPr>
      </w:pPr>
    </w:p>
    <w:p>
      <w:pPr>
        <w:ind w:left="140" w:hanging="12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$41.04 to $42.03, inclusive. The reporting person undertakes to provide to the</w:t>
      </w:r>
    </w:p>
    <w:p>
      <w:pPr>
        <w:spacing w:after="0" w:line="15" w:lineRule="exact"/>
        <w:rPr>
          <w:rFonts w:ascii="Times New Roman" w:cs="Times New Roman" w:eastAsia="Times New Roman" w:hAnsi="Times New Roman"/>
          <w:sz w:val="12"/>
          <w:szCs w:val="12"/>
          <w:color w:val="008000"/>
        </w:rPr>
      </w:pPr>
    </w:p>
    <w:p>
      <w:pPr>
        <w:ind w:left="20" w:right="60"/>
        <w:spacing w:after="0" w:line="232"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6" w:lineRule="exact"/>
        <w:rPr>
          <w:rFonts w:ascii="Times New Roman" w:cs="Times New Roman" w:eastAsia="Times New Roman" w:hAnsi="Times New Roman"/>
          <w:sz w:val="12"/>
          <w:szCs w:val="12"/>
          <w:color w:val="008000"/>
        </w:rPr>
      </w:pPr>
    </w:p>
    <w:p>
      <w:pPr>
        <w:ind w:left="140" w:hanging="12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$42.04 to $42.48, inclusive. The reporting person undertakes to provide to the</w:t>
      </w:r>
    </w:p>
    <w:p>
      <w:pPr>
        <w:spacing w:after="0" w:line="15" w:lineRule="exact"/>
        <w:rPr>
          <w:rFonts w:ascii="Times New Roman" w:cs="Times New Roman" w:eastAsia="Times New Roman" w:hAnsi="Times New Roman"/>
          <w:sz w:val="12"/>
          <w:szCs w:val="12"/>
          <w:color w:val="008000"/>
        </w:rPr>
      </w:pPr>
    </w:p>
    <w:p>
      <w:pPr>
        <w:ind w:left="20" w:right="60"/>
        <w:spacing w:after="0" w:line="232"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6" w:lineRule="exact"/>
        <w:rPr>
          <w:rFonts w:ascii="Times New Roman" w:cs="Times New Roman" w:eastAsia="Times New Roman" w:hAnsi="Times New Roman"/>
          <w:sz w:val="12"/>
          <w:szCs w:val="12"/>
          <w:color w:val="008000"/>
        </w:rPr>
      </w:pPr>
    </w:p>
    <w:p>
      <w:pPr>
        <w:ind w:left="20" w:hanging="1"/>
        <w:spacing w:after="0" w:line="24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shares of Class B Common Stock, or LLC Units, as applicable, held directly by Mark Evan Jones, and does not reflect shares of Class A Common Stock, shares of Class B Common Stock, or LLC Units, as applicable, held by his spouse, Robyn Mary Elizabeth Jones, who is independently a reporting person of the issuer.</w:t>
      </w:r>
    </w:p>
    <w:p>
      <w:pPr>
        <w:spacing w:after="0" w:line="20" w:lineRule="exact"/>
        <w:rPr>
          <w:rFonts w:ascii="Times New Roman" w:cs="Times New Roman" w:eastAsia="Times New Roman" w:hAnsi="Times New Roman"/>
          <w:sz w:val="13"/>
          <w:szCs w:val="13"/>
          <w:color w:val="008000"/>
        </w:rPr>
      </w:pPr>
    </w:p>
    <w:p>
      <w:pPr>
        <w:ind w:left="20" w:right="200" w:hanging="1"/>
        <w:spacing w:after="0" w:line="24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shares of Class B Common Stock, or LLC Units, as applicable, held directly by Robyn Mary Elizabeth Jones, and does not reflect shares of Class A Common Stock, shares of Class B Common Stock, or LLC Units, as applicable, held by her spouse, Mark Evan Jones, who is independently a reporting person of the issuer.</w:t>
      </w:r>
    </w:p>
    <w:p>
      <w:pPr>
        <w:spacing w:after="0" w:line="20" w:lineRule="exact"/>
        <w:rPr>
          <w:rFonts w:ascii="Times New Roman" w:cs="Times New Roman" w:eastAsia="Times New Roman" w:hAnsi="Times New Roman"/>
          <w:sz w:val="13"/>
          <w:szCs w:val="13"/>
          <w:color w:val="008000"/>
        </w:rPr>
      </w:pPr>
    </w:p>
    <w:p>
      <w:pPr>
        <w:ind w:left="20" w:right="140" w:hanging="1"/>
        <w:spacing w:after="0" w:line="24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B Common Stock or LLC Units, as applicable, held indirectly by Mark Evan Jones and Robyn Mary Elizabeth Jones, who serve as trustees of various trusts and whose immediate family members are beneficiaries of such trusts.</w:t>
      </w:r>
    </w:p>
    <w:p>
      <w:pPr>
        <w:spacing w:after="0" w:line="2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LLC Unit, together with a share of Class B Common Stock, may be converted by the holder into one share of Class A Common Stock at any time. The LLC Units do not expire.</w:t>
      </w:r>
    </w:p>
    <w:p>
      <w:pPr>
        <w:sectPr>
          <w:pgSz w:w="11900" w:h="16838" w:orient="portrait"/>
          <w:cols w:equalWidth="0" w:num="1">
            <w:col w:w="10920"/>
          </w:cols>
          <w:pgMar w:left="480" w:top="114" w:right="499" w:bottom="144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Martin Thornthwaite,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-3810</wp:posOffset>
            </wp:positionV>
            <wp:extent cx="1137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Attorney-in-Fact for Mark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12103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Robyn Jones Descendants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1334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2089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208915" cy="8255"/>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Martin Thornthwaite,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-3810</wp:posOffset>
            </wp:positionV>
            <wp:extent cx="11379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Attorney-in-Fact for Mark Evan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13436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2324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Martin Thornthwaite,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-3810</wp:posOffset>
            </wp:positionV>
            <wp:extent cx="11379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Attorney-in-Fact for Robyn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11550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Mary Elizabeth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9055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62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2">
            <w:col w:w="8700" w:space="80"/>
            <w:col w:w="2140"/>
          </w:cols>
          <w:pgMar w:left="480" w:top="114"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600" w:hanging="1"/>
        <w:spacing w:after="0" w:line="330"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20"/>
          </w:cols>
          <w:pgMar w:left="480" w:top="114" w:right="499" w:bottom="1440" w:gutter="0" w:footer="0" w:header="0"/>
          <w:type w:val="continuous"/>
        </w:sectPr>
      </w:pPr>
    </w:p>
    <w:bookmarkStart w:id="2" w:name="page3"/>
    <w:bookmarkEnd w:id="2"/>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5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Martin Thornthwaite and Mark E. Jones, Jr. as the undersigned’s true and lawful attorneys-in-fact to:</w:t>
      </w:r>
    </w:p>
    <w:p>
      <w:pPr>
        <w:spacing w:after="0" w:line="151" w:lineRule="exact"/>
        <w:rPr>
          <w:sz w:val="20"/>
          <w:szCs w:val="20"/>
          <w:color w:val="auto"/>
        </w:rPr>
      </w:pPr>
    </w:p>
    <w:p>
      <w:pPr>
        <w:jc w:val="both"/>
        <w:ind w:firstLine="1"/>
        <w:spacing w:after="0" w:line="281" w:lineRule="auto"/>
        <w:tabs>
          <w:tab w:leader="none" w:pos="44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member of the Board of Directors of Goosehead Insurance, Inc. (the “Company”), Forms 3, 4 and 5, including any amendments thereto, in accordance with Section 16(a) of the Securities Exchange Act of 1934 and the rules and regulations thereunder (the “Exchange Act”);</w:t>
      </w:r>
    </w:p>
    <w:p>
      <w:pPr>
        <w:spacing w:after="0" w:line="78" w:lineRule="exact"/>
        <w:rPr>
          <w:rFonts w:ascii="Times New Roman" w:cs="Times New Roman" w:eastAsia="Times New Roman" w:hAnsi="Times New Roman"/>
          <w:sz w:val="20"/>
          <w:szCs w:val="20"/>
          <w:color w:val="auto"/>
        </w:rPr>
      </w:pPr>
    </w:p>
    <w:p>
      <w:pPr>
        <w:jc w:val="both"/>
        <w:ind w:firstLine="1"/>
        <w:spacing w:after="0" w:line="281" w:lineRule="auto"/>
        <w:tabs>
          <w:tab w:leader="none" w:pos="53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91" w:lineRule="exact"/>
        <w:rPr>
          <w:rFonts w:ascii="Times New Roman" w:cs="Times New Roman" w:eastAsia="Times New Roman" w:hAnsi="Times New Roman"/>
          <w:sz w:val="20"/>
          <w:szCs w:val="20"/>
          <w:color w:val="auto"/>
        </w:rPr>
      </w:pPr>
    </w:p>
    <w:p>
      <w:pPr>
        <w:jc w:val="both"/>
        <w:ind w:firstLine="1"/>
        <w:spacing w:after="0" w:line="275" w:lineRule="auto"/>
        <w:tabs>
          <w:tab w:leader="none" w:pos="46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April,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Mark E. Jones</w:t>
      </w:r>
    </w:p>
    <w:p>
      <w:pPr>
        <w:spacing w:after="0" w:line="200" w:lineRule="exact"/>
        <w:rPr>
          <w:sz w:val="20"/>
          <w:szCs w:val="20"/>
          <w:color w:val="auto"/>
        </w:rPr>
      </w:pPr>
    </w:p>
    <w:p>
      <w:pPr>
        <w:spacing w:after="0" w:line="3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Mark E. Jones</w:t>
      </w:r>
    </w:p>
    <w:p>
      <w:pPr>
        <w:sectPr>
          <w:pgSz w:w="11900" w:h="16838" w:orient="portrait"/>
          <w:cols w:equalWidth="0" w:num="1">
            <w:col w:w="10980"/>
          </w:cols>
          <w:pgMar w:left="460" w:top="1440" w:right="459" w:bottom="1440" w:gutter="0" w:footer="0" w:header="0"/>
        </w:sectPr>
      </w:pPr>
    </w:p>
    <w:bookmarkStart w:id="3" w:name="page4"/>
    <w:bookmarkEnd w:id="3"/>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Know all by these presents, that Mark E. Jones, in his capacity as attorney-in-fact of the Mark &amp; Robyn Jones Descendants Trust 2014 and all other persons, entities, and trusts subject to the Voting Agreement dated May 1, 2018 and the Second Voting Agreement dated February 24, 2021 (collectively, the “Holders”), hereby constitutes and appoints each of Martin Thornthwaite and Mark E. Jones, Jr. as the undersigned’s true and lawful attorneys-in-fact to:</w:t>
      </w:r>
    </w:p>
    <w:p>
      <w:pPr>
        <w:spacing w:after="0" w:line="183" w:lineRule="exact"/>
        <w:rPr>
          <w:sz w:val="20"/>
          <w:szCs w:val="20"/>
          <w:color w:val="auto"/>
        </w:rPr>
      </w:pPr>
    </w:p>
    <w:p>
      <w:pPr>
        <w:jc w:val="both"/>
        <w:ind w:firstLine="1"/>
        <w:spacing w:after="0" w:line="281" w:lineRule="auto"/>
        <w:tabs>
          <w:tab w:leader="none" w:pos="44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execute for and on behalf of the undersigned Forms 3, 4 and 5, including any amendments thereto, with respect to the securities of Goosehead Insurance, Inc. (the “Company”) in accordance with Section 16(a) of the Securities Exchange Act of 1934 and the rules and regulations thereunder (the “Exchange Act”);</w:t>
      </w:r>
    </w:p>
    <w:p>
      <w:pPr>
        <w:spacing w:after="0" w:line="91" w:lineRule="exact"/>
        <w:rPr>
          <w:rFonts w:ascii="Times New Roman" w:cs="Times New Roman" w:eastAsia="Times New Roman" w:hAnsi="Times New Roman"/>
          <w:sz w:val="20"/>
          <w:szCs w:val="20"/>
          <w:color w:val="auto"/>
        </w:rPr>
      </w:pPr>
    </w:p>
    <w:p>
      <w:pPr>
        <w:jc w:val="both"/>
        <w:ind w:firstLine="1"/>
        <w:spacing w:after="0" w:line="281" w:lineRule="auto"/>
        <w:tabs>
          <w:tab w:leader="none" w:pos="53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78" w:lineRule="exact"/>
        <w:rPr>
          <w:rFonts w:ascii="Times New Roman" w:cs="Times New Roman" w:eastAsia="Times New Roman" w:hAnsi="Times New Roman"/>
          <w:sz w:val="20"/>
          <w:szCs w:val="20"/>
          <w:color w:val="auto"/>
        </w:rPr>
      </w:pPr>
    </w:p>
    <w:p>
      <w:pPr>
        <w:jc w:val="both"/>
        <w:ind w:firstLine="1"/>
        <w:spacing w:after="0" w:line="275" w:lineRule="auto"/>
        <w:tabs>
          <w:tab w:leader="none" w:pos="46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0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Follow</w:t>
      </w:r>
      <w:r>
        <w:rPr>
          <w:rFonts w:ascii="Times New Roman" w:cs="Times New Roman" w:eastAsia="Times New Roman" w:hAnsi="Times New Roman"/>
          <w:sz w:val="20"/>
          <w:szCs w:val="20"/>
          <w:color w:val="auto"/>
        </w:rPr>
        <w:t>]</w:t>
      </w:r>
    </w:p>
    <w:p>
      <w:pPr>
        <w:sectPr>
          <w:pgSz w:w="11900" w:h="16838" w:orient="portrait"/>
          <w:cols w:equalWidth="0" w:num="1">
            <w:col w:w="10980"/>
          </w:cols>
          <w:pgMar w:left="460" w:top="1440" w:right="459" w:bottom="1440" w:gutter="0" w:footer="0" w:header="0"/>
        </w:sectPr>
      </w:pPr>
    </w:p>
    <w:bookmarkStart w:id="4" w:name="page5"/>
    <w:bookmarkEnd w:id="4"/>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April,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Mark E. Jones</w:t>
      </w:r>
    </w:p>
    <w:p>
      <w:pPr>
        <w:spacing w:after="0" w:line="200" w:lineRule="exact"/>
        <w:rPr>
          <w:sz w:val="20"/>
          <w:szCs w:val="20"/>
          <w:color w:val="auto"/>
        </w:rPr>
      </w:pPr>
    </w:p>
    <w:p>
      <w:pPr>
        <w:spacing w:after="0" w:line="317" w:lineRule="exact"/>
        <w:rPr>
          <w:sz w:val="20"/>
          <w:szCs w:val="20"/>
          <w:color w:val="auto"/>
        </w:rPr>
      </w:pPr>
    </w:p>
    <w:p>
      <w:pPr>
        <w:spacing w:after="0"/>
        <w:tabs>
          <w:tab w:leader="none" w:pos="720" w:val="left"/>
          <w:tab w:leader="none" w:pos="2100" w:val="left"/>
        </w:tabs>
        <w:rPr>
          <w:sz w:val="20"/>
          <w:szCs w:val="20"/>
          <w:color w:val="auto"/>
        </w:rPr>
      </w:pPr>
      <w:r>
        <w:rPr>
          <w:rFonts w:ascii="Times New Roman" w:cs="Times New Roman" w:eastAsia="Times New Roman" w:hAnsi="Times New Roman"/>
          <w:sz w:val="20"/>
          <w:szCs w:val="20"/>
          <w:color w:val="auto"/>
        </w:rPr>
        <w:t>Name:</w:t>
        <w:tab/>
        <w:t>Mark E. Jones</w:t>
        <w:tab/>
        <w:t>as attorney-in-fact of the Mark &amp; Robyn Jones Descendants Trust 2014</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Mark E. Jones</w:t>
      </w:r>
    </w:p>
    <w:p>
      <w:pPr>
        <w:spacing w:after="0" w:line="200" w:lineRule="exact"/>
        <w:rPr>
          <w:sz w:val="20"/>
          <w:szCs w:val="20"/>
          <w:color w:val="auto"/>
        </w:rPr>
      </w:pPr>
    </w:p>
    <w:p>
      <w:pPr>
        <w:spacing w:after="0" w:line="317" w:lineRule="exact"/>
        <w:rPr>
          <w:sz w:val="20"/>
          <w:szCs w:val="20"/>
          <w:color w:val="auto"/>
        </w:rPr>
      </w:pPr>
    </w:p>
    <w:p>
      <w:pPr>
        <w:spacing w:after="0"/>
        <w:tabs>
          <w:tab w:leader="none" w:pos="720" w:val="left"/>
          <w:tab w:leader="none" w:pos="2100" w:val="left"/>
        </w:tabs>
        <w:rPr>
          <w:sz w:val="20"/>
          <w:szCs w:val="20"/>
          <w:color w:val="auto"/>
        </w:rPr>
      </w:pPr>
      <w:r>
        <w:rPr>
          <w:rFonts w:ascii="Times New Roman" w:cs="Times New Roman" w:eastAsia="Times New Roman" w:hAnsi="Times New Roman"/>
          <w:sz w:val="20"/>
          <w:szCs w:val="20"/>
          <w:color w:val="auto"/>
        </w:rPr>
        <w:t>Name:</w:t>
        <w:tab/>
        <w:t>Mark E. Jones</w:t>
        <w:tab/>
        <w:t>as attorney-in-fact of the Holders</w:t>
      </w:r>
    </w:p>
    <w:p>
      <w:pPr>
        <w:sectPr>
          <w:pgSz w:w="11900" w:h="16838" w:orient="portrait"/>
          <w:cols w:equalWidth="0" w:num="1">
            <w:col w:w="10320"/>
          </w:cols>
          <w:pgMar w:left="460" w:top="1440" w:right="1119" w:bottom="1440" w:gutter="0" w:footer="0" w:header="0"/>
        </w:sectPr>
      </w:pPr>
    </w:p>
    <w:bookmarkStart w:id="5" w:name="page6"/>
    <w:bookmarkEnd w:id="5"/>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5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Martin Thornthwaite and Mark E. Jones, Jr. as the undersigned’s true and lawful attorneys-in-fact to:</w:t>
      </w:r>
    </w:p>
    <w:p>
      <w:pPr>
        <w:spacing w:after="0" w:line="151" w:lineRule="exact"/>
        <w:rPr>
          <w:sz w:val="20"/>
          <w:szCs w:val="20"/>
          <w:color w:val="auto"/>
        </w:rPr>
      </w:pPr>
    </w:p>
    <w:p>
      <w:pPr>
        <w:jc w:val="both"/>
        <w:ind w:firstLine="1"/>
        <w:spacing w:after="0" w:line="281" w:lineRule="auto"/>
        <w:tabs>
          <w:tab w:leader="none" w:pos="44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member of the Board of Directors of Goosehead Insurance, Inc. (the “Company”), Forms 3, 4 and 5, including any amendments thereto, in accordance with Section 16(a) of the Securities Exchange Act of 1934 and the rules and regulations thereunder (the “Exchange Act”);</w:t>
      </w:r>
    </w:p>
    <w:p>
      <w:pPr>
        <w:spacing w:after="0" w:line="78" w:lineRule="exact"/>
        <w:rPr>
          <w:rFonts w:ascii="Times New Roman" w:cs="Times New Roman" w:eastAsia="Times New Roman" w:hAnsi="Times New Roman"/>
          <w:sz w:val="20"/>
          <w:szCs w:val="20"/>
          <w:color w:val="auto"/>
        </w:rPr>
      </w:pPr>
    </w:p>
    <w:p>
      <w:pPr>
        <w:jc w:val="both"/>
        <w:ind w:firstLine="1"/>
        <w:spacing w:after="0" w:line="281" w:lineRule="auto"/>
        <w:tabs>
          <w:tab w:leader="none" w:pos="53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91" w:lineRule="exact"/>
        <w:rPr>
          <w:rFonts w:ascii="Times New Roman" w:cs="Times New Roman" w:eastAsia="Times New Roman" w:hAnsi="Times New Roman"/>
          <w:sz w:val="20"/>
          <w:szCs w:val="20"/>
          <w:color w:val="auto"/>
        </w:rPr>
      </w:pPr>
    </w:p>
    <w:p>
      <w:pPr>
        <w:jc w:val="both"/>
        <w:ind w:firstLine="1"/>
        <w:spacing w:after="0" w:line="275" w:lineRule="auto"/>
        <w:tabs>
          <w:tab w:leader="none" w:pos="46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April,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Robyn Jones</w:t>
      </w:r>
    </w:p>
    <w:p>
      <w:pPr>
        <w:spacing w:after="0" w:line="200" w:lineRule="exact"/>
        <w:rPr>
          <w:sz w:val="20"/>
          <w:szCs w:val="20"/>
          <w:color w:val="auto"/>
        </w:rPr>
      </w:pPr>
    </w:p>
    <w:p>
      <w:pPr>
        <w:spacing w:after="0" w:line="3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tab/>
        <w:t>Robyn Jones</w:t>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13" Type="http://schemas.openxmlformats.org/officeDocument/2006/relationships/hyperlink" Target="http://www.sec.gov/cgi-bin/browse-edgar?action=getcompany&amp;CIK=0001736769" TargetMode="External"/><Relationship Id="rId14" Type="http://schemas.openxmlformats.org/officeDocument/2006/relationships/hyperlink" Target="http://www.sec.gov/cgi-bin/browse-edgar?action=getcompany&amp;CIK=0001726978" TargetMode="External"/><Relationship Id="rId17" Type="http://schemas.openxmlformats.org/officeDocument/2006/relationships/hyperlink" Target="http://www.sec.gov/cgi-bin/browse-edgar?action=getcompany&amp;CIK=0001736768" TargetMode="External"/><Relationship Id="rId18" Type="http://schemas.openxmlformats.org/officeDocument/2006/relationships/hyperlink" Target="http://www.sec.gov/cgi-bin/browse-edgar?action=getcompany&amp;CIK=00017375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2026-05-21T18:20:22Z</dcterms:created>
  <dcterms:modified xsi:type="dcterms:W3CDTF">2026-05-21T18:20:22Z</dcterms:modified>
</cp:coreProperties>
</file>