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0001736768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22"/>
        <w:gridCol w:w="4183"/>
      </w:tblGrid>
      <w:tr>
        <w:trPr/>
        <w:tc>
          <w:tcPr>
            <w:tcW w:w="6022" w:type="dxa"/>
            <w:tcBorders/>
            <w:vAlign w:val="center"/>
          </w:tcPr>
          <w:p>
            <w:pPr>
              <w:pStyle w:val="TableContents"/>
              <w:bidi w:val="0"/>
              <w:spacing w:before="0" w:after="283"/>
              <w:jc w:val="left"/>
              <w:rPr/>
            </w:pPr>
            <w:r>
              <w:rPr/>
              <w:t>Name of Issuer</w:t>
            </w:r>
          </w:p>
        </w:tc>
        <w:tc>
          <w:tcPr>
            <w:tcW w:w="4183" w:type="dxa"/>
            <w:tcBorders/>
            <w:vAlign w:val="center"/>
          </w:tcPr>
          <w:p>
            <w:pPr>
              <w:pStyle w:val="TableContents"/>
              <w:bidi w:val="0"/>
              <w:spacing w:before="0" w:after="0"/>
              <w:jc w:val="left"/>
              <w:rPr/>
            </w:pPr>
            <w:r>
              <w:rPr/>
              <w:t>Goosehead Insurance, Inc.</w:t>
            </w:r>
          </w:p>
        </w:tc>
      </w:tr>
      <w:tr>
        <w:trPr/>
        <w:tc>
          <w:tcPr>
            <w:tcW w:w="6022" w:type="dxa"/>
            <w:tcBorders/>
            <w:vAlign w:val="center"/>
          </w:tcPr>
          <w:p>
            <w:pPr>
              <w:pStyle w:val="TableContents"/>
              <w:bidi w:val="0"/>
              <w:spacing w:before="0" w:after="283"/>
              <w:jc w:val="left"/>
              <w:rPr/>
            </w:pPr>
            <w:r>
              <w:rPr/>
              <w:t>SEC File Number</w:t>
            </w:r>
          </w:p>
        </w:tc>
        <w:tc>
          <w:tcPr>
            <w:tcW w:w="4183" w:type="dxa"/>
            <w:tcBorders/>
            <w:vAlign w:val="center"/>
          </w:tcPr>
          <w:p>
            <w:pPr>
              <w:pStyle w:val="TableContents"/>
              <w:bidi w:val="0"/>
              <w:spacing w:before="0" w:after="0"/>
              <w:jc w:val="left"/>
              <w:rPr/>
            </w:pPr>
            <w:r>
              <w:rPr/>
              <w:t>001-38466</w:t>
            </w:r>
          </w:p>
        </w:tc>
      </w:tr>
      <w:tr>
        <w:trPr/>
        <w:tc>
          <w:tcPr>
            <w:tcW w:w="6022" w:type="dxa"/>
            <w:tcBorders/>
            <w:vAlign w:val="center"/>
          </w:tcPr>
          <w:p>
            <w:pPr>
              <w:pStyle w:val="TableContents"/>
              <w:bidi w:val="0"/>
              <w:spacing w:before="0" w:after="283"/>
              <w:jc w:val="left"/>
              <w:rPr/>
            </w:pPr>
            <w:r>
              <w:rPr/>
              <w:t>Address of Issuer</w:t>
            </w:r>
          </w:p>
        </w:tc>
        <w:tc>
          <w:tcPr>
            <w:tcW w:w="4183" w:type="dxa"/>
            <w:tcBorders/>
            <w:vAlign w:val="center"/>
          </w:tcPr>
          <w:p>
            <w:pPr>
              <w:pStyle w:val="TableContents"/>
              <w:bidi w:val="0"/>
              <w:spacing w:before="0" w:after="0"/>
              <w:jc w:val="left"/>
              <w:rPr/>
            </w:pPr>
            <w:r>
              <w:rPr/>
              <w:t>1500 Solana Blvd, Building 4, Suite 4500</w:t>
              <w:br/>
              <w:t>Westlake</w:t>
              <w:br/>
              <w:t xml:space="preserve">TEXAS </w:t>
              <w:br/>
              <w:t>76262</w:t>
            </w:r>
          </w:p>
        </w:tc>
      </w:tr>
      <w:tr>
        <w:trPr/>
        <w:tc>
          <w:tcPr>
            <w:tcW w:w="6022" w:type="dxa"/>
            <w:tcBorders/>
            <w:vAlign w:val="center"/>
          </w:tcPr>
          <w:p>
            <w:pPr>
              <w:pStyle w:val="TableContents"/>
              <w:bidi w:val="0"/>
              <w:spacing w:before="0" w:after="283"/>
              <w:jc w:val="left"/>
              <w:rPr/>
            </w:pPr>
            <w:r>
              <w:rPr/>
              <w:t>Phone</w:t>
            </w:r>
          </w:p>
        </w:tc>
        <w:tc>
          <w:tcPr>
            <w:tcW w:w="4183" w:type="dxa"/>
            <w:tcBorders/>
            <w:vAlign w:val="center"/>
          </w:tcPr>
          <w:p>
            <w:pPr>
              <w:pStyle w:val="TableContents"/>
              <w:bidi w:val="0"/>
              <w:spacing w:before="0" w:after="0"/>
              <w:jc w:val="left"/>
              <w:rPr/>
            </w:pPr>
            <w:r>
              <w:rPr/>
              <w:t>214-838-5500</w:t>
            </w:r>
          </w:p>
        </w:tc>
      </w:tr>
      <w:tr>
        <w:trPr/>
        <w:tc>
          <w:tcPr>
            <w:tcW w:w="6022" w:type="dxa"/>
            <w:tcBorders/>
            <w:vAlign w:val="center"/>
          </w:tcPr>
          <w:p>
            <w:pPr>
              <w:pStyle w:val="TableContents"/>
              <w:bidi w:val="0"/>
              <w:spacing w:before="0" w:after="283"/>
              <w:jc w:val="left"/>
              <w:rPr/>
            </w:pPr>
            <w:r>
              <w:rPr/>
              <w:t>Name of Person for Whose Account the Securities are To Be Sold</w:t>
            </w:r>
          </w:p>
        </w:tc>
        <w:tc>
          <w:tcPr>
            <w:tcW w:w="4183" w:type="dxa"/>
            <w:tcBorders/>
            <w:vAlign w:val="center"/>
          </w:tcPr>
          <w:p>
            <w:pPr>
              <w:pStyle w:val="TableContents"/>
              <w:bidi w:val="0"/>
              <w:spacing w:before="0" w:after="0"/>
              <w:jc w:val="left"/>
              <w:rPr/>
            </w:pPr>
            <w:r>
              <w:rPr/>
              <w:t>Mark Jones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22" w:type="dxa"/>
            <w:tcBorders/>
            <w:vAlign w:val="center"/>
          </w:tcPr>
          <w:p>
            <w:pPr>
              <w:pStyle w:val="TableContents"/>
              <w:bidi w:val="0"/>
              <w:spacing w:before="0" w:after="283"/>
              <w:jc w:val="left"/>
              <w:rPr/>
            </w:pPr>
            <w:r>
              <w:rPr/>
              <w:t>Relationship to Issuer</w:t>
            </w:r>
          </w:p>
        </w:tc>
        <w:tc>
          <w:tcPr>
            <w:tcW w:w="4183" w:type="dxa"/>
            <w:tcBorders/>
            <w:vAlign w:val="center"/>
          </w:tcPr>
          <w:p>
            <w:pPr>
              <w:pStyle w:val="TableContents"/>
              <w:bidi w:val="0"/>
              <w:spacing w:before="0" w:after="0"/>
              <w:jc w:val="left"/>
              <w:rPr/>
            </w:pPr>
            <w:r>
              <w:rPr/>
              <w:t>Affiliate</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6"/>
        <w:gridCol w:w="1501"/>
        <w:gridCol w:w="1176"/>
        <w:gridCol w:w="1385"/>
        <w:gridCol w:w="1559"/>
        <w:gridCol w:w="1571"/>
        <w:gridCol w:w="1417"/>
      </w:tblGrid>
      <w:tr>
        <w:trPr/>
        <w:tc>
          <w:tcPr>
            <w:tcW w:w="1596" w:type="dxa"/>
            <w:tcBorders/>
            <w:vAlign w:val="center"/>
          </w:tcPr>
          <w:p>
            <w:pPr>
              <w:pStyle w:val="TableHeading"/>
              <w:suppressLineNumbers/>
              <w:bidi w:val="0"/>
              <w:spacing w:before="0" w:after="283"/>
              <w:jc w:val="center"/>
              <w:rPr/>
            </w:pPr>
            <w:r>
              <w:rPr/>
              <w:t>Title of the Class of Securities To Be Sold</w:t>
            </w:r>
          </w:p>
        </w:tc>
        <w:tc>
          <w:tcPr>
            <w:tcW w:w="1501"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1" w:type="dxa"/>
            <w:tcBorders/>
            <w:vAlign w:val="center"/>
          </w:tcPr>
          <w:p>
            <w:pPr>
              <w:pStyle w:val="TableHeading"/>
              <w:suppressLineNumbers/>
              <w:bidi w:val="0"/>
              <w:spacing w:before="0" w:after="283"/>
              <w:jc w:val="center"/>
              <w:rPr/>
            </w:pPr>
            <w:r>
              <w:rPr/>
              <w:t>Approximate Date of Sale</w:t>
            </w:r>
          </w:p>
        </w:tc>
        <w:tc>
          <w:tcPr>
            <w:tcW w:w="1417" w:type="dxa"/>
            <w:tcBorders/>
            <w:vAlign w:val="center"/>
          </w:tcPr>
          <w:p>
            <w:pPr>
              <w:pStyle w:val="TableHeading"/>
              <w:suppressLineNumbers/>
              <w:bidi w:val="0"/>
              <w:spacing w:before="0" w:after="283"/>
              <w:jc w:val="center"/>
              <w:rPr/>
            </w:pPr>
            <w:r>
              <w:rPr/>
              <w:t>Name the Securities Exchange</w:t>
            </w:r>
          </w:p>
        </w:tc>
      </w:tr>
      <w:tr>
        <w:trPr/>
        <w:tc>
          <w:tcPr>
            <w:tcW w:w="1596" w:type="dxa"/>
            <w:tcBorders/>
            <w:vAlign w:val="center"/>
          </w:tcPr>
          <w:p>
            <w:pPr>
              <w:pStyle w:val="TableContents"/>
              <w:bidi w:val="0"/>
              <w:spacing w:before="0" w:after="283"/>
              <w:jc w:val="left"/>
              <w:rPr/>
            </w:pPr>
            <w:r>
              <w:rPr/>
              <w:t>Class A Common</w:t>
            </w:r>
          </w:p>
        </w:tc>
        <w:tc>
          <w:tcPr>
            <w:tcW w:w="1501" w:type="dxa"/>
            <w:tcBorders/>
            <w:vAlign w:val="center"/>
          </w:tcPr>
          <w:p>
            <w:pPr>
              <w:pStyle w:val="TableContents"/>
              <w:bidi w:val="0"/>
              <w:spacing w:before="0" w:after="0"/>
              <w:jc w:val="left"/>
              <w:rPr/>
            </w:pPr>
            <w:r>
              <w:rPr/>
              <w:t>J.P. Morgan Securities LLC</w:t>
              <w:br/>
              <w:t>270 Madison Avenue - 10th Floor</w:t>
              <w:br/>
              <w:t>New York   NY   10017</w:t>
            </w:r>
          </w:p>
        </w:tc>
        <w:tc>
          <w:tcPr>
            <w:tcW w:w="1176" w:type="dxa"/>
            <w:tcBorders/>
            <w:vAlign w:val="center"/>
          </w:tcPr>
          <w:p>
            <w:pPr>
              <w:pStyle w:val="TableContents"/>
              <w:bidi w:val="0"/>
              <w:spacing w:before="0" w:after="283"/>
              <w:jc w:val="left"/>
              <w:rPr/>
            </w:pPr>
            <w:r>
              <w:rPr/>
              <w:t>250000</w:t>
            </w:r>
          </w:p>
        </w:tc>
        <w:tc>
          <w:tcPr>
            <w:tcW w:w="1385" w:type="dxa"/>
            <w:tcBorders/>
            <w:vAlign w:val="center"/>
          </w:tcPr>
          <w:p>
            <w:pPr>
              <w:pStyle w:val="TableContents"/>
              <w:bidi w:val="0"/>
              <w:spacing w:before="0" w:after="283"/>
              <w:jc w:val="left"/>
              <w:rPr/>
            </w:pPr>
            <w:r>
              <w:rPr/>
              <w:t>17370000</w:t>
            </w:r>
          </w:p>
        </w:tc>
        <w:tc>
          <w:tcPr>
            <w:tcW w:w="1559" w:type="dxa"/>
            <w:tcBorders/>
            <w:vAlign w:val="center"/>
          </w:tcPr>
          <w:p>
            <w:pPr>
              <w:pStyle w:val="TableContents"/>
              <w:bidi w:val="0"/>
              <w:spacing w:before="0" w:after="283"/>
              <w:jc w:val="left"/>
              <w:rPr/>
            </w:pPr>
            <w:r>
              <w:rPr/>
              <w:t>23802805</w:t>
            </w:r>
          </w:p>
        </w:tc>
        <w:tc>
          <w:tcPr>
            <w:tcW w:w="1571" w:type="dxa"/>
            <w:tcBorders/>
            <w:vAlign w:val="center"/>
          </w:tcPr>
          <w:p>
            <w:pPr>
              <w:pStyle w:val="TableContents"/>
              <w:bidi w:val="0"/>
              <w:spacing w:before="0" w:after="283"/>
              <w:jc w:val="left"/>
              <w:rPr/>
            </w:pPr>
            <w:r>
              <w:rPr/>
              <w:t>07/29/2026</w:t>
            </w:r>
          </w:p>
        </w:tc>
        <w:tc>
          <w:tcPr>
            <w:tcW w:w="141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5"/>
        <w:gridCol w:w="1142"/>
        <w:gridCol w:w="1503"/>
        <w:gridCol w:w="1214"/>
        <w:gridCol w:w="535"/>
        <w:gridCol w:w="1142"/>
        <w:gridCol w:w="1205"/>
        <w:gridCol w:w="1083"/>
        <w:gridCol w:w="1226"/>
      </w:tblGrid>
      <w:tr>
        <w:trPr/>
        <w:tc>
          <w:tcPr>
            <w:tcW w:w="1155" w:type="dxa"/>
            <w:tcBorders/>
            <w:vAlign w:val="center"/>
          </w:tcPr>
          <w:p>
            <w:pPr>
              <w:pStyle w:val="TableHeading"/>
              <w:suppressLineNumbers/>
              <w:bidi w:val="0"/>
              <w:spacing w:before="0" w:after="283"/>
              <w:jc w:val="center"/>
              <w:rPr/>
            </w:pPr>
            <w:r>
              <w:rPr/>
              <w:t>Title of the Class</w:t>
            </w:r>
          </w:p>
        </w:tc>
        <w:tc>
          <w:tcPr>
            <w:tcW w:w="1142" w:type="dxa"/>
            <w:tcBorders/>
            <w:vAlign w:val="center"/>
          </w:tcPr>
          <w:p>
            <w:pPr>
              <w:pStyle w:val="TableHeading"/>
              <w:suppressLineNumbers/>
              <w:bidi w:val="0"/>
              <w:spacing w:before="0" w:after="283"/>
              <w:jc w:val="center"/>
              <w:rPr/>
            </w:pPr>
            <w:r>
              <w:rPr/>
              <w:t>Date you Acquired</w:t>
            </w:r>
          </w:p>
        </w:tc>
        <w:tc>
          <w:tcPr>
            <w:tcW w:w="1503" w:type="dxa"/>
            <w:tcBorders/>
            <w:vAlign w:val="center"/>
          </w:tcPr>
          <w:p>
            <w:pPr>
              <w:pStyle w:val="TableHeading"/>
              <w:suppressLineNumbers/>
              <w:bidi w:val="0"/>
              <w:spacing w:before="0" w:after="283"/>
              <w:jc w:val="center"/>
              <w:rPr/>
            </w:pPr>
            <w:r>
              <w:rPr/>
              <w:t>Nature of Acquisition Transaction</w:t>
            </w:r>
          </w:p>
        </w:tc>
        <w:tc>
          <w:tcPr>
            <w:tcW w:w="1214" w:type="dxa"/>
            <w:tcBorders/>
            <w:vAlign w:val="center"/>
          </w:tcPr>
          <w:p>
            <w:pPr>
              <w:pStyle w:val="TableHeading"/>
              <w:suppressLineNumbers/>
              <w:bidi w:val="0"/>
              <w:spacing w:before="0" w:after="283"/>
              <w:jc w:val="center"/>
              <w:rPr/>
            </w:pPr>
            <w:r>
              <w:rPr/>
              <w:t>Name of Person from Whom Acquired</w:t>
            </w:r>
          </w:p>
        </w:tc>
        <w:tc>
          <w:tcPr>
            <w:tcW w:w="535" w:type="dxa"/>
            <w:tcBorders/>
            <w:vAlign w:val="center"/>
          </w:tcPr>
          <w:p>
            <w:pPr>
              <w:pStyle w:val="TableHeading"/>
              <w:suppressLineNumbers/>
              <w:bidi w:val="0"/>
              <w:spacing w:before="0" w:after="283"/>
              <w:jc w:val="center"/>
              <w:rPr/>
            </w:pPr>
            <w:r>
              <w:rPr/>
              <w:t>Is this a Gift?</w:t>
            </w:r>
          </w:p>
        </w:tc>
        <w:tc>
          <w:tcPr>
            <w:tcW w:w="1142"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83" w:type="dxa"/>
            <w:tcBorders/>
            <w:vAlign w:val="center"/>
          </w:tcPr>
          <w:p>
            <w:pPr>
              <w:pStyle w:val="TableHeading"/>
              <w:suppressLineNumbers/>
              <w:bidi w:val="0"/>
              <w:spacing w:before="0" w:after="283"/>
              <w:jc w:val="center"/>
              <w:rPr/>
            </w:pPr>
            <w:r>
              <w:rPr/>
              <w:t>Date of Payment</w:t>
            </w:r>
          </w:p>
        </w:tc>
        <w:tc>
          <w:tcPr>
            <w:tcW w:w="1226"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5" w:type="dxa"/>
            <w:tcBorders/>
            <w:vAlign w:val="center"/>
          </w:tcPr>
          <w:p>
            <w:pPr>
              <w:pStyle w:val="TableContents"/>
              <w:bidi w:val="0"/>
              <w:spacing w:before="0" w:after="283"/>
              <w:jc w:val="left"/>
              <w:rPr/>
            </w:pPr>
            <w:r>
              <w:rPr/>
              <w:t>Class A Common</w:t>
            </w:r>
          </w:p>
        </w:tc>
        <w:tc>
          <w:tcPr>
            <w:tcW w:w="1142" w:type="dxa"/>
            <w:tcBorders/>
            <w:vAlign w:val="center"/>
          </w:tcPr>
          <w:p>
            <w:pPr>
              <w:pStyle w:val="TableContents"/>
              <w:bidi w:val="0"/>
              <w:spacing w:before="0" w:after="283"/>
              <w:jc w:val="left"/>
              <w:rPr/>
            </w:pPr>
            <w:r>
              <w:rPr/>
              <w:t>07/29/2026</w:t>
            </w:r>
          </w:p>
        </w:tc>
        <w:tc>
          <w:tcPr>
            <w:tcW w:w="1503" w:type="dxa"/>
            <w:tcBorders/>
            <w:vAlign w:val="center"/>
          </w:tcPr>
          <w:p>
            <w:pPr>
              <w:pStyle w:val="TableContents"/>
              <w:bidi w:val="0"/>
              <w:spacing w:before="0" w:after="283"/>
              <w:jc w:val="left"/>
              <w:rPr/>
            </w:pPr>
            <w:r>
              <w:rPr/>
              <w:t>Class A Common Shares received in exchange of Class B units. The Class B units were acquired on April 27, 2018.</w:t>
            </w:r>
          </w:p>
        </w:tc>
        <w:tc>
          <w:tcPr>
            <w:tcW w:w="1214" w:type="dxa"/>
            <w:tcBorders/>
            <w:vAlign w:val="center"/>
          </w:tcPr>
          <w:p>
            <w:pPr>
              <w:pStyle w:val="TableContents"/>
              <w:bidi w:val="0"/>
              <w:spacing w:before="0" w:after="283"/>
              <w:jc w:val="left"/>
              <w:rPr/>
            </w:pPr>
            <w:r>
              <w:rPr/>
              <w:t>Issuer</w:t>
            </w:r>
          </w:p>
        </w:tc>
        <w:tc>
          <w:tcPr>
            <w:tcW w:w="535"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42"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250000</w:t>
            </w:r>
          </w:p>
        </w:tc>
        <w:tc>
          <w:tcPr>
            <w:tcW w:w="1083" w:type="dxa"/>
            <w:tcBorders/>
            <w:vAlign w:val="center"/>
          </w:tcPr>
          <w:p>
            <w:pPr>
              <w:pStyle w:val="TableContents"/>
              <w:bidi w:val="0"/>
              <w:spacing w:before="0" w:after="283"/>
              <w:jc w:val="left"/>
              <w:rPr/>
            </w:pPr>
            <w:r>
              <w:rPr/>
              <w:t>07/29/2026</w:t>
            </w:r>
          </w:p>
        </w:tc>
        <w:tc>
          <w:tcPr>
            <w:tcW w:w="1226"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00"/>
        <w:gridCol w:w="2929"/>
        <w:gridCol w:w="941"/>
        <w:gridCol w:w="1556"/>
        <w:gridCol w:w="1679"/>
      </w:tblGrid>
      <w:tr>
        <w:trPr/>
        <w:tc>
          <w:tcPr>
            <w:tcW w:w="3100" w:type="dxa"/>
            <w:tcBorders/>
            <w:vAlign w:val="center"/>
          </w:tcPr>
          <w:p>
            <w:pPr>
              <w:pStyle w:val="TableHeading"/>
              <w:suppressLineNumbers/>
              <w:bidi w:val="0"/>
              <w:spacing w:before="0" w:after="283"/>
              <w:jc w:val="center"/>
              <w:rPr/>
            </w:pPr>
            <w:r>
              <w:rPr/>
              <w:t>Name and Address of Seller</w:t>
            </w:r>
          </w:p>
        </w:tc>
        <w:tc>
          <w:tcPr>
            <w:tcW w:w="2929" w:type="dxa"/>
            <w:tcBorders/>
            <w:vAlign w:val="center"/>
          </w:tcPr>
          <w:p>
            <w:pPr>
              <w:pStyle w:val="TableHeading"/>
              <w:suppressLineNumbers/>
              <w:bidi w:val="0"/>
              <w:spacing w:before="0" w:after="283"/>
              <w:jc w:val="center"/>
              <w:rPr/>
            </w:pPr>
            <w:r>
              <w:rPr/>
              <w:t>Title of Securities Sold</w:t>
            </w:r>
          </w:p>
        </w:tc>
        <w:tc>
          <w:tcPr>
            <w:tcW w:w="941" w:type="dxa"/>
            <w:tcBorders/>
            <w:vAlign w:val="center"/>
          </w:tcPr>
          <w:p>
            <w:pPr>
              <w:pStyle w:val="TableHeading"/>
              <w:suppressLineNumbers/>
              <w:bidi w:val="0"/>
              <w:spacing w:before="0" w:after="283"/>
              <w:jc w:val="center"/>
              <w:rPr/>
            </w:pPr>
            <w:r>
              <w:rPr/>
              <w:t>Date of Sale</w:t>
            </w:r>
          </w:p>
        </w:tc>
        <w:tc>
          <w:tcPr>
            <w:tcW w:w="1556" w:type="dxa"/>
            <w:tcBorders/>
            <w:vAlign w:val="center"/>
          </w:tcPr>
          <w:p>
            <w:pPr>
              <w:pStyle w:val="TableHeading"/>
              <w:suppressLineNumbers/>
              <w:bidi w:val="0"/>
              <w:spacing w:before="0" w:after="283"/>
              <w:jc w:val="center"/>
              <w:rPr/>
            </w:pPr>
            <w:r>
              <w:rPr/>
              <w:t>Amount of Securities Sold</w:t>
            </w:r>
          </w:p>
        </w:tc>
        <w:tc>
          <w:tcPr>
            <w:tcW w:w="1679" w:type="dxa"/>
            <w:tcBorders/>
            <w:vAlign w:val="center"/>
          </w:tcPr>
          <w:p>
            <w:pPr>
              <w:pStyle w:val="TableHeading"/>
              <w:suppressLineNumbers/>
              <w:bidi w:val="0"/>
              <w:spacing w:before="0" w:after="283"/>
              <w:jc w:val="center"/>
              <w:rPr/>
            </w:pPr>
            <w:r>
              <w:rPr/>
              <w:t>Gross Proceeds</w:t>
            </w:r>
          </w:p>
        </w:tc>
      </w:tr>
      <w:tr>
        <w:trPr/>
        <w:tc>
          <w:tcPr>
            <w:tcW w:w="3100" w:type="dxa"/>
            <w:tcBorders/>
            <w:vAlign w:val="center"/>
          </w:tcPr>
          <w:p>
            <w:pPr>
              <w:pStyle w:val="TableContents"/>
              <w:bidi w:val="0"/>
              <w:spacing w:before="0" w:after="283"/>
              <w:jc w:val="left"/>
              <w:rPr/>
            </w:pPr>
            <w:r>
              <w:rPr/>
              <w:t>Mark and Robyn Jones Descendants Trust 2014</w:t>
              <w:br/>
              <w:t>C/o Goosehead Insurance, Inc.</w:t>
              <w:br/>
              <w:t>1500 Solana Blvd., Bldg 4, Suite 4500</w:t>
              <w:br/>
              <w:t>Westlake   TX   76262</w:t>
            </w:r>
          </w:p>
        </w:tc>
        <w:tc>
          <w:tcPr>
            <w:tcW w:w="2929" w:type="dxa"/>
            <w:tcBorders/>
            <w:vAlign w:val="center"/>
          </w:tcPr>
          <w:p>
            <w:pPr>
              <w:pStyle w:val="TableContents"/>
              <w:bidi w:val="0"/>
              <w:spacing w:before="0" w:after="283"/>
              <w:jc w:val="left"/>
              <w:rPr/>
            </w:pPr>
            <w:r>
              <w:rPr/>
              <w:t>Class A Common</w:t>
            </w:r>
          </w:p>
        </w:tc>
        <w:tc>
          <w:tcPr>
            <w:tcW w:w="941" w:type="dxa"/>
            <w:tcBorders/>
            <w:vAlign w:val="center"/>
          </w:tcPr>
          <w:p>
            <w:pPr>
              <w:pStyle w:val="TableContents"/>
              <w:bidi w:val="0"/>
              <w:spacing w:before="0" w:after="283"/>
              <w:jc w:val="left"/>
              <w:rPr/>
            </w:pPr>
            <w:r>
              <w:rPr/>
              <w:t>05/01/2026</w:t>
            </w:r>
          </w:p>
        </w:tc>
        <w:tc>
          <w:tcPr>
            <w:tcW w:w="1556" w:type="dxa"/>
            <w:tcBorders/>
            <w:vAlign w:val="center"/>
          </w:tcPr>
          <w:p>
            <w:pPr>
              <w:pStyle w:val="TableContents"/>
              <w:bidi w:val="0"/>
              <w:spacing w:before="0" w:after="283"/>
              <w:jc w:val="left"/>
              <w:rPr/>
            </w:pPr>
            <w:r>
              <w:rPr/>
              <w:t>5090</w:t>
            </w:r>
          </w:p>
        </w:tc>
        <w:tc>
          <w:tcPr>
            <w:tcW w:w="1679" w:type="dxa"/>
            <w:tcBorders/>
            <w:vAlign w:val="center"/>
          </w:tcPr>
          <w:p>
            <w:pPr>
              <w:pStyle w:val="TableContents"/>
              <w:bidi w:val="0"/>
              <w:spacing w:before="0" w:after="283"/>
              <w:jc w:val="left"/>
              <w:rPr/>
            </w:pPr>
            <w:r>
              <w:rPr/>
              <w:t>230685</w:t>
            </w:r>
          </w:p>
        </w:tc>
      </w:tr>
      <w:tr>
        <w:trPr/>
        <w:tc>
          <w:tcPr>
            <w:tcW w:w="3100" w:type="dxa"/>
            <w:tcBorders/>
            <w:vAlign w:val="center"/>
          </w:tcPr>
          <w:p>
            <w:pPr>
              <w:pStyle w:val="TableContents"/>
              <w:bidi w:val="0"/>
              <w:spacing w:before="0" w:after="283"/>
              <w:jc w:val="left"/>
              <w:rPr/>
            </w:pPr>
            <w:r>
              <w:rPr/>
              <w:t>Mark and Robyn Jones Descendants Trust 2014</w:t>
              <w:br/>
              <w:t>C/o Goosehead Insurance, Inc.</w:t>
              <w:br/>
              <w:t>1500 Solana Blvd., Bldg 4, Suite 4500</w:t>
              <w:br/>
              <w:t>Westlake   TX   76262</w:t>
            </w:r>
          </w:p>
        </w:tc>
        <w:tc>
          <w:tcPr>
            <w:tcW w:w="2929" w:type="dxa"/>
            <w:tcBorders/>
            <w:vAlign w:val="center"/>
          </w:tcPr>
          <w:p>
            <w:pPr>
              <w:pStyle w:val="TableContents"/>
              <w:bidi w:val="0"/>
              <w:spacing w:before="0" w:after="283"/>
              <w:jc w:val="left"/>
              <w:rPr/>
            </w:pPr>
            <w:r>
              <w:rPr/>
              <w:t>Class A Common</w:t>
            </w:r>
          </w:p>
        </w:tc>
        <w:tc>
          <w:tcPr>
            <w:tcW w:w="941" w:type="dxa"/>
            <w:tcBorders/>
            <w:vAlign w:val="center"/>
          </w:tcPr>
          <w:p>
            <w:pPr>
              <w:pStyle w:val="TableContents"/>
              <w:bidi w:val="0"/>
              <w:spacing w:before="0" w:after="283"/>
              <w:jc w:val="left"/>
              <w:rPr/>
            </w:pPr>
            <w:r>
              <w:rPr/>
              <w:t>05/21/2026</w:t>
            </w:r>
          </w:p>
        </w:tc>
        <w:tc>
          <w:tcPr>
            <w:tcW w:w="1556" w:type="dxa"/>
            <w:tcBorders/>
            <w:vAlign w:val="center"/>
          </w:tcPr>
          <w:p>
            <w:pPr>
              <w:pStyle w:val="TableContents"/>
              <w:bidi w:val="0"/>
              <w:spacing w:before="0" w:after="283"/>
              <w:jc w:val="left"/>
              <w:rPr/>
            </w:pPr>
            <w:r>
              <w:rPr/>
              <w:t>70751</w:t>
            </w:r>
          </w:p>
        </w:tc>
        <w:tc>
          <w:tcPr>
            <w:tcW w:w="1679" w:type="dxa"/>
            <w:tcBorders/>
            <w:vAlign w:val="center"/>
          </w:tcPr>
          <w:p>
            <w:pPr>
              <w:pStyle w:val="TableContents"/>
              <w:bidi w:val="0"/>
              <w:spacing w:before="0" w:after="283"/>
              <w:jc w:val="left"/>
              <w:rPr/>
            </w:pPr>
            <w:r>
              <w:rPr/>
              <w:t>2926361</w:t>
            </w:r>
          </w:p>
        </w:tc>
      </w:tr>
      <w:tr>
        <w:trPr/>
        <w:tc>
          <w:tcPr>
            <w:tcW w:w="3100" w:type="dxa"/>
            <w:tcBorders/>
            <w:vAlign w:val="center"/>
          </w:tcPr>
          <w:p>
            <w:pPr>
              <w:pStyle w:val="TableContents"/>
              <w:bidi w:val="0"/>
              <w:spacing w:before="0" w:after="283"/>
              <w:jc w:val="left"/>
              <w:rPr/>
            </w:pPr>
            <w:r>
              <w:rPr/>
              <w:t>Mark and Robyn Jones Descendants Trust 2014</w:t>
              <w:br/>
              <w:t>C/o Goosehead Insurance, Inc.</w:t>
              <w:br/>
              <w:t>1500 Solana Blvd., Bldg 4, Suite 4500</w:t>
              <w:br/>
              <w:t>Westlake   TX   76262</w:t>
            </w:r>
          </w:p>
        </w:tc>
        <w:tc>
          <w:tcPr>
            <w:tcW w:w="2929" w:type="dxa"/>
            <w:tcBorders/>
            <w:vAlign w:val="center"/>
          </w:tcPr>
          <w:p>
            <w:pPr>
              <w:pStyle w:val="TableContents"/>
              <w:bidi w:val="0"/>
              <w:spacing w:before="0" w:after="283"/>
              <w:jc w:val="left"/>
              <w:rPr/>
            </w:pPr>
            <w:r>
              <w:rPr/>
              <w:t>Class A Common</w:t>
            </w:r>
          </w:p>
        </w:tc>
        <w:tc>
          <w:tcPr>
            <w:tcW w:w="941" w:type="dxa"/>
            <w:tcBorders/>
            <w:vAlign w:val="center"/>
          </w:tcPr>
          <w:p>
            <w:pPr>
              <w:pStyle w:val="TableContents"/>
              <w:bidi w:val="0"/>
              <w:spacing w:before="0" w:after="283"/>
              <w:jc w:val="left"/>
              <w:rPr/>
            </w:pPr>
            <w:r>
              <w:rPr/>
              <w:t>05/22/2026</w:t>
            </w:r>
          </w:p>
        </w:tc>
        <w:tc>
          <w:tcPr>
            <w:tcW w:w="1556" w:type="dxa"/>
            <w:tcBorders/>
            <w:vAlign w:val="center"/>
          </w:tcPr>
          <w:p>
            <w:pPr>
              <w:pStyle w:val="TableContents"/>
              <w:bidi w:val="0"/>
              <w:spacing w:before="0" w:after="283"/>
              <w:jc w:val="left"/>
              <w:rPr/>
            </w:pPr>
            <w:r>
              <w:rPr/>
              <w:t>82689</w:t>
            </w:r>
          </w:p>
        </w:tc>
        <w:tc>
          <w:tcPr>
            <w:tcW w:w="1679" w:type="dxa"/>
            <w:tcBorders/>
            <w:vAlign w:val="center"/>
          </w:tcPr>
          <w:p>
            <w:pPr>
              <w:pStyle w:val="TableContents"/>
              <w:bidi w:val="0"/>
              <w:spacing w:before="0" w:after="283"/>
              <w:jc w:val="left"/>
              <w:rPr/>
            </w:pPr>
            <w:r>
              <w:rPr/>
              <w:t>3452843</w:t>
            </w:r>
          </w:p>
        </w:tc>
      </w:tr>
      <w:tr>
        <w:trPr/>
        <w:tc>
          <w:tcPr>
            <w:tcW w:w="3100" w:type="dxa"/>
            <w:tcBorders/>
            <w:vAlign w:val="center"/>
          </w:tcPr>
          <w:p>
            <w:pPr>
              <w:pStyle w:val="TableContents"/>
              <w:bidi w:val="0"/>
              <w:spacing w:before="0" w:after="283"/>
              <w:jc w:val="left"/>
              <w:rPr/>
            </w:pPr>
            <w:r>
              <w:rPr/>
              <w:t>Mark and Robyn Jones Descendants Trust 2014</w:t>
              <w:br/>
              <w:t>C/o Goosehead Insurance, Inc.</w:t>
              <w:br/>
              <w:t>1500 Solana Blvd., Bldg 4, Suite 4500</w:t>
              <w:br/>
              <w:t>Westlake   TX   76262</w:t>
            </w:r>
          </w:p>
        </w:tc>
        <w:tc>
          <w:tcPr>
            <w:tcW w:w="2929" w:type="dxa"/>
            <w:tcBorders/>
            <w:vAlign w:val="center"/>
          </w:tcPr>
          <w:p>
            <w:pPr>
              <w:pStyle w:val="TableContents"/>
              <w:bidi w:val="0"/>
              <w:spacing w:before="0" w:after="283"/>
              <w:jc w:val="left"/>
              <w:rPr/>
            </w:pPr>
            <w:r>
              <w:rPr/>
              <w:t>Class A Common</w:t>
            </w:r>
          </w:p>
        </w:tc>
        <w:tc>
          <w:tcPr>
            <w:tcW w:w="941" w:type="dxa"/>
            <w:tcBorders/>
            <w:vAlign w:val="center"/>
          </w:tcPr>
          <w:p>
            <w:pPr>
              <w:pStyle w:val="TableContents"/>
              <w:bidi w:val="0"/>
              <w:spacing w:before="0" w:after="283"/>
              <w:jc w:val="left"/>
              <w:rPr/>
            </w:pPr>
            <w:r>
              <w:rPr/>
              <w:t>05/26/2026</w:t>
            </w:r>
          </w:p>
        </w:tc>
        <w:tc>
          <w:tcPr>
            <w:tcW w:w="1556" w:type="dxa"/>
            <w:tcBorders/>
            <w:vAlign w:val="center"/>
          </w:tcPr>
          <w:p>
            <w:pPr>
              <w:pStyle w:val="TableContents"/>
              <w:bidi w:val="0"/>
              <w:spacing w:before="0" w:after="283"/>
              <w:jc w:val="left"/>
              <w:rPr/>
            </w:pPr>
            <w:r>
              <w:rPr/>
              <w:t>45588</w:t>
            </w:r>
          </w:p>
        </w:tc>
        <w:tc>
          <w:tcPr>
            <w:tcW w:w="1679" w:type="dxa"/>
            <w:tcBorders/>
            <w:vAlign w:val="center"/>
          </w:tcPr>
          <w:p>
            <w:pPr>
              <w:pStyle w:val="TableContents"/>
              <w:bidi w:val="0"/>
              <w:spacing w:before="0" w:after="283"/>
              <w:jc w:val="left"/>
              <w:rPr/>
            </w:pPr>
            <w:r>
              <w:rPr/>
              <w:t>1826705</w:t>
            </w:r>
          </w:p>
        </w:tc>
      </w:tr>
      <w:tr>
        <w:trPr/>
        <w:tc>
          <w:tcPr>
            <w:tcW w:w="3100" w:type="dxa"/>
            <w:tcBorders/>
            <w:vAlign w:val="center"/>
          </w:tcPr>
          <w:p>
            <w:pPr>
              <w:pStyle w:val="TableContents"/>
              <w:bidi w:val="0"/>
              <w:spacing w:before="0" w:after="283"/>
              <w:jc w:val="left"/>
              <w:rPr/>
            </w:pPr>
            <w:r>
              <w:rPr/>
              <w:t>Mark and Robyn Jones Descendants Trust 2014</w:t>
              <w:br/>
              <w:t>C/o Goosehead Insurance, Inc.</w:t>
              <w:br/>
              <w:t>1500 Solana Blvd., Bldg 4, Suite 4500</w:t>
              <w:br/>
              <w:t>Westlake   TX   76262</w:t>
            </w:r>
          </w:p>
        </w:tc>
        <w:tc>
          <w:tcPr>
            <w:tcW w:w="2929" w:type="dxa"/>
            <w:tcBorders/>
            <w:vAlign w:val="center"/>
          </w:tcPr>
          <w:p>
            <w:pPr>
              <w:pStyle w:val="TableContents"/>
              <w:bidi w:val="0"/>
              <w:spacing w:before="0" w:after="283"/>
              <w:jc w:val="left"/>
              <w:rPr/>
            </w:pPr>
            <w:r>
              <w:rPr/>
              <w:t>Class A Common</w:t>
            </w:r>
          </w:p>
        </w:tc>
        <w:tc>
          <w:tcPr>
            <w:tcW w:w="941" w:type="dxa"/>
            <w:tcBorders/>
            <w:vAlign w:val="center"/>
          </w:tcPr>
          <w:p>
            <w:pPr>
              <w:pStyle w:val="TableContents"/>
              <w:bidi w:val="0"/>
              <w:spacing w:before="0" w:after="283"/>
              <w:jc w:val="left"/>
              <w:rPr/>
            </w:pPr>
            <w:r>
              <w:rPr/>
              <w:t>05/27/2026</w:t>
            </w:r>
          </w:p>
        </w:tc>
        <w:tc>
          <w:tcPr>
            <w:tcW w:w="1556" w:type="dxa"/>
            <w:tcBorders/>
            <w:vAlign w:val="center"/>
          </w:tcPr>
          <w:p>
            <w:pPr>
              <w:pStyle w:val="TableContents"/>
              <w:bidi w:val="0"/>
              <w:spacing w:before="0" w:after="283"/>
              <w:jc w:val="left"/>
              <w:rPr/>
            </w:pPr>
            <w:r>
              <w:rPr/>
              <w:t>9588</w:t>
            </w:r>
          </w:p>
        </w:tc>
        <w:tc>
          <w:tcPr>
            <w:tcW w:w="1679" w:type="dxa"/>
            <w:tcBorders/>
            <w:vAlign w:val="center"/>
          </w:tcPr>
          <w:p>
            <w:pPr>
              <w:pStyle w:val="TableContents"/>
              <w:bidi w:val="0"/>
              <w:spacing w:before="0" w:after="283"/>
              <w:jc w:val="left"/>
              <w:rPr/>
            </w:pPr>
            <w:r>
              <w:rPr/>
              <w:t>390784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369"/>
        <w:gridCol w:w="8836"/>
      </w:tblGrid>
      <w:tr>
        <w:trPr/>
        <w:tc>
          <w:tcPr>
            <w:tcW w:w="1369" w:type="dxa"/>
            <w:tcBorders/>
            <w:vAlign w:val="center"/>
          </w:tcPr>
          <w:p>
            <w:pPr>
              <w:pStyle w:val="TableContents"/>
              <w:bidi w:val="0"/>
              <w:spacing w:before="0" w:after="283"/>
              <w:jc w:val="left"/>
              <w:rPr/>
            </w:pPr>
            <w:r>
              <w:rPr/>
              <w:t>Remarks</w:t>
            </w:r>
          </w:p>
        </w:tc>
        <w:tc>
          <w:tcPr>
            <w:tcW w:w="8836" w:type="dxa"/>
            <w:tcBorders/>
            <w:vAlign w:val="center"/>
          </w:tcPr>
          <w:p>
            <w:pPr>
              <w:pStyle w:val="TableContents"/>
              <w:bidi w:val="0"/>
              <w:spacing w:before="0" w:after="0"/>
              <w:jc w:val="left"/>
              <w:rPr/>
            </w:pPr>
            <w:r>
              <w:rPr/>
              <w:t>The shares filed today will be sold by the Mark and Robyn Jones Descendants Trust 2014 , Mark Jones as Trustee. The shares covered by this filing are units that will be exchanged on 07/29/26 or within three months from the date of this filing.</w:t>
            </w:r>
          </w:p>
        </w:tc>
      </w:tr>
      <w:tr>
        <w:trPr/>
        <w:tc>
          <w:tcPr>
            <w:tcW w:w="1369" w:type="dxa"/>
            <w:tcBorders/>
            <w:vAlign w:val="center"/>
          </w:tcPr>
          <w:p>
            <w:pPr>
              <w:pStyle w:val="TableContents"/>
              <w:bidi w:val="0"/>
              <w:spacing w:before="0" w:after="283"/>
              <w:jc w:val="left"/>
              <w:rPr/>
            </w:pPr>
            <w:r>
              <w:rPr/>
              <w:t>Date of Notice</w:t>
            </w:r>
          </w:p>
        </w:tc>
        <w:tc>
          <w:tcPr>
            <w:tcW w:w="8836" w:type="dxa"/>
            <w:tcBorders/>
            <w:vAlign w:val="center"/>
          </w:tcPr>
          <w:p>
            <w:pPr>
              <w:pStyle w:val="TableContents"/>
              <w:bidi w:val="0"/>
              <w:spacing w:before="0" w:after="0"/>
              <w:jc w:val="left"/>
              <w:rPr/>
            </w:pPr>
            <w:r>
              <w:rPr/>
              <w:t>07/29/2026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369" w:type="dxa"/>
            <w:tcBorders/>
            <w:vAlign w:val="center"/>
          </w:tcPr>
          <w:p>
            <w:pPr>
              <w:pStyle w:val="TableContents"/>
              <w:bidi w:val="0"/>
              <w:spacing w:before="0" w:after="283"/>
              <w:jc w:val="left"/>
              <w:rPr/>
            </w:pPr>
            <w:r>
              <w:rPr/>
              <w:t>Signature</w:t>
            </w:r>
          </w:p>
        </w:tc>
        <w:tc>
          <w:tcPr>
            <w:tcW w:w="8836" w:type="dxa"/>
            <w:tcBorders/>
            <w:vAlign w:val="center"/>
          </w:tcPr>
          <w:p>
            <w:pPr>
              <w:pStyle w:val="TableContents"/>
              <w:bidi w:val="0"/>
              <w:spacing w:before="0" w:after="0"/>
              <w:jc w:val="left"/>
              <w:rPr/>
            </w:pPr>
            <w:r>
              <w:rPr/>
              <w:t>/s/ J.P. Morgan Securities LLC as agent and attorney-in-fact for Mark Jones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802</Words>
  <Characters>4009</Characters>
  <CharactersWithSpaces>4747</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